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420"/>
        <w:rPr>
          <w:rFonts w:ascii="Times New Roman" w:hAnsi="Times New Roman" w:eastAsia="宋体" w:cs="Times New Roman"/>
          <w:szCs w:val="24"/>
          <w:vertAlign w:val="subscript"/>
        </w:rPr>
      </w:pPr>
      <w:bookmarkStart w:id="0" w:name="_Toc339271412"/>
      <w:bookmarkStart w:id="1" w:name="_Toc54238606"/>
      <w:bookmarkStart w:id="2" w:name="_Toc30405379"/>
      <w:bookmarkStart w:id="3" w:name="_Toc30411936"/>
      <w:bookmarkStart w:id="4" w:name="_Toc33952445"/>
      <w:bookmarkStart w:id="5" w:name="_Toc30392690"/>
      <w:bookmarkStart w:id="6" w:name="_Toc342392097"/>
      <w:bookmarkStart w:id="7" w:name="_Toc21836052"/>
      <w:bookmarkStart w:id="8" w:name="_Toc21836701"/>
      <w:bookmarkStart w:id="9" w:name="_Toc21835991"/>
      <w:bookmarkStart w:id="10" w:name="_Toc30392016"/>
      <w:bookmarkStart w:id="11" w:name="_Toc342464559"/>
      <w:bookmarkStart w:id="12" w:name="_Toc30412308"/>
      <w:bookmarkStart w:id="13" w:name="_Toc30497263"/>
      <w:bookmarkStart w:id="14" w:name="_Toc14462"/>
      <w:bookmarkStart w:id="15" w:name="_Toc342465196"/>
      <w:bookmarkStart w:id="16" w:name="_Toc160524141"/>
      <w:bookmarkStart w:id="17" w:name="_Toc21836823"/>
      <w:bookmarkStart w:id="18" w:name="_Toc33952620"/>
      <w:bookmarkStart w:id="19" w:name="_Toc342465013"/>
    </w:p>
    <w:p>
      <w:pPr>
        <w:adjustRightInd w:val="0"/>
        <w:snapToGrid w:val="0"/>
        <w:spacing w:line="360" w:lineRule="auto"/>
        <w:ind w:firstLine="420" w:firstLineChars="200"/>
        <w:jc w:val="left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jc w:val="left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jc w:val="left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jc w:val="left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jc w:val="left"/>
        <w:rPr>
          <w:rFonts w:ascii="宋体" w:hAnsi="宋体" w:eastAsia="宋体" w:cs="Times New Roman"/>
          <w:snapToGrid w:val="0"/>
          <w:szCs w:val="20"/>
        </w:rPr>
      </w:pPr>
    </w:p>
    <w:p>
      <w:pPr>
        <w:keepNext w:val="0"/>
        <w:keepLines w:val="0"/>
        <w:widowControl/>
        <w:suppressLineNumbers w:val="0"/>
        <w:jc w:val="center"/>
        <w:rPr>
          <w:rFonts w:ascii="宋体" w:hAnsi="宋体" w:eastAsia="宋体" w:cs="Times New Roman"/>
          <w:snapToGrid w:val="0"/>
          <w:szCs w:val="20"/>
        </w:rPr>
      </w:pPr>
      <w:r>
        <w:drawing>
          <wp:inline distT="0" distB="0" distL="114300" distR="114300">
            <wp:extent cx="3593465" cy="902335"/>
            <wp:effectExtent l="0" t="0" r="13335" b="12065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593465" cy="9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djustRightInd w:val="0"/>
        <w:snapToGrid w:val="0"/>
        <w:spacing w:line="360" w:lineRule="auto"/>
        <w:ind w:firstLine="420" w:firstLineChars="200"/>
        <w:rPr>
          <w:rFonts w:ascii="宋体" w:hAnsi="宋体" w:eastAsia="宋体" w:cs="Times New Roman"/>
          <w:snapToGrid w:val="0"/>
          <w:szCs w:val="20"/>
        </w:rPr>
      </w:pPr>
    </w:p>
    <w:p>
      <w:pPr>
        <w:jc w:val="both"/>
        <w:rPr>
          <w:rFonts w:hint="eastAsia" w:ascii="黑体" w:hAnsi="Times New Roman" w:eastAsia="黑体" w:cs="Times New Roman"/>
          <w:b/>
          <w:sz w:val="56"/>
          <w:szCs w:val="56"/>
          <w:lang w:eastAsia="zh-Hans"/>
        </w:rPr>
      </w:pPr>
    </w:p>
    <w:p>
      <w:pPr>
        <w:jc w:val="center"/>
        <w:rPr>
          <w:rFonts w:hint="eastAsia" w:ascii="黑体" w:hAnsi="Times New Roman" w:eastAsia="黑体" w:cs="Times New Roman"/>
          <w:b/>
          <w:sz w:val="56"/>
          <w:szCs w:val="56"/>
          <w:lang w:val="en-US" w:eastAsia="zh-Hans"/>
        </w:rPr>
      </w:pPr>
      <w:r>
        <w:rPr>
          <w:rFonts w:hint="eastAsia" w:ascii="黑体" w:hAnsi="Times New Roman" w:eastAsia="黑体" w:cs="Times New Roman"/>
          <w:b/>
          <w:sz w:val="56"/>
          <w:szCs w:val="56"/>
          <w:lang w:val="en-US" w:eastAsia="zh-Hans"/>
        </w:rPr>
        <w:t>迎新服务</w:t>
      </w:r>
    </w:p>
    <w:p>
      <w:pPr>
        <w:jc w:val="center"/>
        <w:rPr>
          <w:rFonts w:ascii="黑体" w:hAnsi="Times New Roman" w:eastAsia="黑体" w:cs="Times New Roman"/>
          <w:b/>
          <w:sz w:val="56"/>
          <w:szCs w:val="56"/>
        </w:rPr>
      </w:pPr>
      <w:r>
        <w:rPr>
          <w:rFonts w:hint="eastAsia" w:ascii="黑体" w:hAnsi="Times New Roman" w:eastAsia="黑体" w:cs="Times New Roman"/>
          <w:b/>
          <w:sz w:val="56"/>
          <w:szCs w:val="56"/>
          <w:lang w:val="en-US" w:eastAsia="zh-Hans"/>
        </w:rPr>
        <w:t>专升本新生</w:t>
      </w:r>
      <w:r>
        <w:rPr>
          <w:rFonts w:hint="eastAsia" w:ascii="黑体" w:hAnsi="Times New Roman" w:eastAsia="黑体" w:cs="Times New Roman"/>
          <w:b/>
          <w:sz w:val="56"/>
          <w:szCs w:val="56"/>
        </w:rPr>
        <w:t>操作手册</w:t>
      </w:r>
    </w:p>
    <w:p>
      <w:pPr>
        <w:jc w:val="center"/>
        <w:rPr>
          <w:rFonts w:ascii="黑体" w:hAnsi="Times New Roman" w:eastAsia="黑体" w:cs="Times New Roman"/>
          <w:b/>
          <w:sz w:val="56"/>
          <w:szCs w:val="56"/>
        </w:rPr>
      </w:pPr>
    </w:p>
    <w:p>
      <w:pPr>
        <w:ind w:firstLine="420"/>
        <w:rPr>
          <w:rFonts w:ascii="Times New Roman" w:hAnsi="Times New Roman" w:eastAsia="宋体" w:cs="Times New Roman"/>
          <w:szCs w:val="24"/>
        </w:rPr>
      </w:pPr>
    </w:p>
    <w:p>
      <w:pPr>
        <w:adjustRightInd w:val="0"/>
        <w:snapToGrid w:val="0"/>
        <w:spacing w:line="360" w:lineRule="auto"/>
        <w:ind w:left="147" w:firstLine="3203" w:firstLineChars="1000"/>
        <w:jc w:val="center"/>
        <w:rPr>
          <w:rFonts w:ascii="宋体" w:hAnsi="宋体" w:eastAsia="宋体" w:cs="宋体"/>
          <w:b/>
          <w:color w:val="000000"/>
          <w:kern w:val="0"/>
          <w:sz w:val="32"/>
          <w:szCs w:val="32"/>
        </w:rPr>
      </w:pPr>
      <w:r>
        <w:rPr>
          <w:rFonts w:hint="eastAsia" w:ascii="宋体" w:hAnsi="宋体" w:eastAsia="宋体" w:cs="宋体"/>
          <w:b/>
          <w:color w:val="000000"/>
          <w:kern w:val="0"/>
          <w:sz w:val="32"/>
          <w:szCs w:val="32"/>
          <w:lang w:val="en-US" w:eastAsia="zh-CN"/>
        </w:rPr>
        <w:t xml:space="preserve">        </w:t>
      </w:r>
      <w:r>
        <w:rPr>
          <w:rFonts w:hint="eastAsia" w:ascii="宋体" w:hAnsi="宋体" w:eastAsia="宋体" w:cs="宋体"/>
          <w:b/>
          <w:color w:val="000000"/>
          <w:kern w:val="0"/>
          <w:sz w:val="32"/>
          <w:szCs w:val="32"/>
        </w:rPr>
        <w:t>V1.</w:t>
      </w:r>
      <w:r>
        <w:rPr>
          <w:rFonts w:hint="eastAsia" w:ascii="宋体" w:hAnsi="宋体" w:eastAsia="宋体" w:cs="宋体"/>
          <w:b/>
          <w:color w:val="000000"/>
          <w:kern w:val="0"/>
          <w:sz w:val="32"/>
          <w:szCs w:val="32"/>
          <w:lang w:val="en-US" w:eastAsia="zh-CN"/>
        </w:rPr>
        <w:t>0</w:t>
      </w:r>
      <w:r>
        <w:rPr>
          <w:rFonts w:hint="eastAsia" w:ascii="宋体" w:hAnsi="宋体" w:eastAsia="宋体" w:cs="宋体"/>
          <w:b/>
          <w:color w:val="000000"/>
          <w:kern w:val="0"/>
          <w:sz w:val="32"/>
          <w:szCs w:val="32"/>
        </w:rPr>
        <w:t>版</w:t>
      </w:r>
    </w:p>
    <w:p>
      <w:pPr>
        <w:adjustRightInd w:val="0"/>
        <w:snapToGrid w:val="0"/>
        <w:spacing w:line="360" w:lineRule="auto"/>
        <w:ind w:firstLine="420" w:firstLineChars="200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jc w:val="center"/>
        <w:rPr>
          <w:rFonts w:hint="eastAsia" w:ascii="宋体" w:hAnsi="宋体" w:eastAsia="宋体" w:cs="宋体"/>
          <w:b/>
          <w:color w:val="000000"/>
          <w:kern w:val="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kern w:val="0"/>
          <w:sz w:val="32"/>
          <w:szCs w:val="32"/>
          <w:lang w:val="en-US" w:eastAsia="zh-CN"/>
        </w:rPr>
        <w:t>20</w:t>
      </w:r>
      <w:r>
        <w:rPr>
          <w:rFonts w:hint="default" w:ascii="宋体" w:hAnsi="宋体" w:eastAsia="宋体" w:cs="宋体"/>
          <w:b/>
          <w:color w:val="000000"/>
          <w:kern w:val="0"/>
          <w:sz w:val="32"/>
          <w:szCs w:val="32"/>
          <w:lang w:eastAsia="zh-CN"/>
        </w:rPr>
        <w:t>2</w:t>
      </w:r>
      <w:r>
        <w:rPr>
          <w:rFonts w:hint="eastAsia" w:ascii="宋体" w:hAnsi="宋体" w:eastAsia="宋体" w:cs="宋体"/>
          <w:b/>
          <w:color w:val="000000"/>
          <w:kern w:val="0"/>
          <w:sz w:val="32"/>
          <w:szCs w:val="32"/>
          <w:lang w:val="en-US" w:eastAsia="zh-CN"/>
        </w:rPr>
        <w:t>4</w:t>
      </w:r>
      <w:bookmarkStart w:id="28" w:name="_GoBack"/>
      <w:bookmarkEnd w:id="28"/>
      <w:r>
        <w:rPr>
          <w:rFonts w:hint="eastAsia" w:ascii="宋体" w:hAnsi="宋体" w:eastAsia="宋体" w:cs="宋体"/>
          <w:b/>
          <w:color w:val="000000"/>
          <w:kern w:val="0"/>
          <w:sz w:val="32"/>
          <w:szCs w:val="32"/>
          <w:lang w:val="en-US" w:eastAsia="zh-CN"/>
        </w:rPr>
        <w:t>年</w:t>
      </w:r>
      <w:r>
        <w:rPr>
          <w:rFonts w:hint="default" w:ascii="宋体" w:hAnsi="宋体" w:eastAsia="宋体" w:cs="宋体"/>
          <w:b/>
          <w:color w:val="000000"/>
          <w:kern w:val="0"/>
          <w:sz w:val="32"/>
          <w:szCs w:val="32"/>
          <w:lang w:eastAsia="zh-CN"/>
        </w:rPr>
        <w:t>08</w:t>
      </w:r>
      <w:r>
        <w:rPr>
          <w:rFonts w:hint="eastAsia" w:ascii="宋体" w:hAnsi="宋体" w:eastAsia="宋体" w:cs="宋体"/>
          <w:b/>
          <w:color w:val="000000"/>
          <w:kern w:val="0"/>
          <w:sz w:val="32"/>
          <w:szCs w:val="32"/>
          <w:lang w:val="en-US" w:eastAsia="zh-CN"/>
        </w:rPr>
        <w:t>月</w:t>
      </w:r>
      <w:bookmarkEnd w:id="0"/>
    </w:p>
    <w:p>
      <w:pPr>
        <w:jc w:val="center"/>
        <w:rPr>
          <w:rFonts w:ascii="黑体" w:hAnsi="Times New Roman" w:eastAsia="黑体" w:cs="Times New Roman"/>
          <w:sz w:val="40"/>
          <w:szCs w:val="40"/>
        </w:rPr>
      </w:pPr>
    </w:p>
    <w:p>
      <w:pPr>
        <w:adjustRightInd w:val="0"/>
        <w:snapToGrid w:val="0"/>
        <w:spacing w:line="360" w:lineRule="auto"/>
        <w:jc w:val="both"/>
        <w:outlineLvl w:val="9"/>
        <w:rPr>
          <w:rFonts w:hint="eastAsia" w:ascii="黑体" w:hAnsi="宋体" w:eastAsia="黑体" w:cs="Arial"/>
          <w:b/>
          <w:bCs/>
          <w:sz w:val="32"/>
          <w:szCs w:val="32"/>
        </w:rPr>
      </w:pPr>
    </w:p>
    <w:sdt>
      <w:sdtPr>
        <w:rPr>
          <w:rFonts w:ascii="宋体" w:hAnsi="宋体" w:eastAsia="宋体" w:cstheme="minorBidi"/>
          <w:kern w:val="2"/>
          <w:sz w:val="21"/>
          <w:szCs w:val="22"/>
          <w:lang w:val="en-US" w:eastAsia="zh-CN" w:bidi="ar-SA"/>
        </w:rPr>
        <w:id w:val="47503548"/>
        <w15:color w:val="DBDBDB"/>
        <w:docPartObj>
          <w:docPartGallery w:val="Table of Contents"/>
          <w:docPartUnique/>
        </w:docPartObj>
      </w:sdtPr>
      <w:sdtEndPr>
        <w:rPr>
          <w:rFonts w:ascii="宋体" w:hAnsi="宋体" w:eastAsia="宋体" w:cstheme="minorBidi"/>
          <w:kern w:val="2"/>
          <w:sz w:val="21"/>
          <w:szCs w:val="22"/>
          <w:lang w:val="en-US" w:eastAsia="zh-CN" w:bidi="ar-SA"/>
        </w:rPr>
      </w:sdtEndPr>
      <w:sdtContent>
        <w:p>
          <w:pPr>
            <w:spacing w:before="0" w:beforeLines="0" w:after="0" w:afterLines="0" w:line="360" w:lineRule="auto"/>
            <w:ind w:left="0" w:leftChars="0" w:right="0" w:rightChars="0" w:firstLine="0" w:firstLineChars="0"/>
            <w:jc w:val="center"/>
            <w:rPr>
              <w:b/>
              <w:bCs/>
              <w:sz w:val="36"/>
              <w:szCs w:val="36"/>
            </w:rPr>
          </w:pPr>
          <w:r>
            <w:rPr>
              <w:rFonts w:ascii="宋体" w:hAnsi="宋体" w:eastAsia="宋体"/>
              <w:b/>
              <w:bCs/>
              <w:sz w:val="36"/>
              <w:szCs w:val="36"/>
            </w:rPr>
            <w:t>目录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rPr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TOC \o "1-2" \h \u </w:instrText>
          </w:r>
          <w:r>
            <w:rPr>
              <w:sz w:val="21"/>
              <w:szCs w:val="21"/>
            </w:rPr>
            <w:fldChar w:fldCharType="separate"/>
          </w: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_Toc601096232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eastAsia"/>
              <w:sz w:val="21"/>
              <w:szCs w:val="21"/>
            </w:rPr>
            <w:t xml:space="preserve">第1章  </w:t>
          </w:r>
          <w:r>
            <w:rPr>
              <w:rFonts w:hint="eastAsia"/>
              <w:sz w:val="21"/>
              <w:szCs w:val="21"/>
              <w:lang w:val="en-US" w:eastAsia="zh-Hans"/>
            </w:rPr>
            <w:t>登录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4</w:t>
          </w:r>
          <w:r>
            <w:rPr>
              <w:sz w:val="21"/>
              <w:szCs w:val="21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rPr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_Toc1776397569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eastAsia"/>
              <w:sz w:val="21"/>
              <w:szCs w:val="21"/>
              <w:lang w:val="en-US" w:eastAsia="zh-Hans"/>
            </w:rPr>
            <w:t>第</w:t>
          </w:r>
          <w:r>
            <w:rPr>
              <w:rFonts w:hint="default"/>
              <w:sz w:val="21"/>
              <w:szCs w:val="21"/>
              <w:lang w:eastAsia="zh-Hans"/>
            </w:rPr>
            <w:t>2</w:t>
          </w:r>
          <w:r>
            <w:rPr>
              <w:rFonts w:hint="eastAsia"/>
              <w:sz w:val="21"/>
              <w:szCs w:val="21"/>
              <w:lang w:val="en-US" w:eastAsia="zh-Hans"/>
            </w:rPr>
            <w:t>章</w:t>
          </w:r>
          <w:r>
            <w:rPr>
              <w:rFonts w:hint="eastAsia"/>
              <w:sz w:val="21"/>
              <w:szCs w:val="21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迎新服务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6</w:t>
          </w:r>
          <w:r>
            <w:rPr>
              <w:sz w:val="21"/>
              <w:szCs w:val="21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420" w:firstLineChars="200"/>
            <w:rPr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.1 </w:t>
          </w:r>
          <w:r>
            <w:rPr>
              <w:rFonts w:hint="eastAsia"/>
              <w:sz w:val="21"/>
              <w:szCs w:val="21"/>
              <w:lang w:val="en-US" w:eastAsia="zh-Hans"/>
            </w:rPr>
            <w:t>电脑</w:t>
          </w:r>
          <w:r>
            <w:rPr>
              <w:rFonts w:hint="eastAsia"/>
              <w:sz w:val="21"/>
              <w:szCs w:val="21"/>
              <w:lang w:val="en-US" w:eastAsia="zh-CN"/>
            </w:rPr>
            <w:t>端</w:t>
          </w:r>
          <w:r>
            <w:rPr>
              <w:rFonts w:hint="eastAsia"/>
              <w:sz w:val="21"/>
              <w:szCs w:val="21"/>
              <w:lang w:val="en-US" w:eastAsia="zh-Hans"/>
            </w:rPr>
            <w:t>迎新服务办理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6</w:t>
          </w:r>
          <w:r>
            <w:rPr>
              <w:sz w:val="21"/>
              <w:szCs w:val="21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1 </w:t>
          </w:r>
          <w:r>
            <w:rPr>
              <w:rFonts w:hint="eastAsia"/>
              <w:sz w:val="21"/>
              <w:szCs w:val="21"/>
              <w:lang w:val="en-US" w:eastAsia="zh-Hans"/>
            </w:rPr>
            <w:t>学习园地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7</w:t>
          </w:r>
          <w:r>
            <w:rPr>
              <w:sz w:val="21"/>
              <w:szCs w:val="21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1.2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教育管理协议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7</w:t>
          </w:r>
          <w:r>
            <w:rPr>
              <w:sz w:val="21"/>
              <w:szCs w:val="21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1.3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新生选房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8</w:t>
          </w:r>
          <w:r>
            <w:rPr>
              <w:sz w:val="21"/>
              <w:szCs w:val="21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1.4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信息采集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9</w:t>
          </w:r>
          <w:r>
            <w:rPr>
              <w:sz w:val="21"/>
              <w:szCs w:val="21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1.5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照片采集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1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0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1.6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入学教育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1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1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1.7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学平险选择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1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3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1.8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到站登记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15</w:t>
          </w:r>
          <w:r>
            <w:rPr>
              <w:sz w:val="21"/>
              <w:szCs w:val="21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1.9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绿色通道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1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6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</w:t>
          </w:r>
          <w:r>
            <w:rPr>
              <w:rFonts w:hint="eastAsia"/>
              <w:sz w:val="21"/>
              <w:szCs w:val="21"/>
              <w:lang w:val="en-US" w:eastAsia="zh-CN"/>
            </w:rPr>
            <w:t>1</w:t>
          </w:r>
          <w:r>
            <w:rPr>
              <w:rFonts w:hint="default"/>
              <w:sz w:val="21"/>
              <w:szCs w:val="21"/>
              <w:lang w:eastAsia="zh-CN"/>
            </w:rPr>
            <w:t>0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同班同学查询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1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8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</w:t>
          </w:r>
          <w:r>
            <w:rPr>
              <w:rFonts w:hint="eastAsia"/>
              <w:sz w:val="21"/>
              <w:szCs w:val="21"/>
              <w:lang w:val="en-US" w:eastAsia="zh-CN"/>
            </w:rPr>
            <w:t>1</w:t>
          </w:r>
          <w:r>
            <w:rPr>
              <w:rFonts w:hint="default"/>
              <w:sz w:val="21"/>
              <w:szCs w:val="21"/>
              <w:lang w:eastAsia="zh-CN"/>
            </w:rPr>
            <w:t>1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管理服务人员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1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9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</w:t>
          </w:r>
          <w:r>
            <w:rPr>
              <w:rFonts w:hint="eastAsia"/>
              <w:sz w:val="21"/>
              <w:szCs w:val="21"/>
              <w:lang w:val="en-US" w:eastAsia="zh-CN"/>
            </w:rPr>
            <w:t>1</w:t>
          </w:r>
          <w:r>
            <w:rPr>
              <w:rFonts w:hint="default"/>
              <w:sz w:val="21"/>
              <w:szCs w:val="21"/>
              <w:lang w:eastAsia="zh-CN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财务缴费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1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9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420" w:firstLineChars="2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_Toc191464352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移动端迎新服务办理</w:t>
          </w:r>
          <w:r>
            <w:rPr>
              <w:sz w:val="21"/>
              <w:szCs w:val="21"/>
            </w:rPr>
            <w:tab/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20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1 </w:t>
          </w:r>
          <w:r>
            <w:rPr>
              <w:rFonts w:hint="eastAsia"/>
              <w:sz w:val="21"/>
              <w:szCs w:val="21"/>
              <w:lang w:val="en-US" w:eastAsia="zh-Hans"/>
            </w:rPr>
            <w:t>学习园地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1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2.2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教育管理协议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2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2.3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新生选房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3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2.4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信息采集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4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2.5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照片采集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5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2.6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入学教育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6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2.7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学平险选择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7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2.8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到站登记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9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2.9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绿色通道</w:t>
          </w:r>
          <w:r>
            <w:rPr>
              <w:sz w:val="21"/>
              <w:szCs w:val="21"/>
            </w:rPr>
            <w:tab/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30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</w:t>
          </w:r>
          <w:r>
            <w:rPr>
              <w:rFonts w:hint="eastAsia"/>
              <w:sz w:val="21"/>
              <w:szCs w:val="21"/>
              <w:lang w:val="en-US" w:eastAsia="zh-CN"/>
            </w:rPr>
            <w:t>1</w:t>
          </w:r>
          <w:r>
            <w:rPr>
              <w:rFonts w:hint="default"/>
              <w:sz w:val="21"/>
              <w:szCs w:val="21"/>
              <w:lang w:eastAsia="zh-CN"/>
            </w:rPr>
            <w:t>0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同班同学查询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3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2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</w:t>
          </w:r>
          <w:r>
            <w:rPr>
              <w:rFonts w:hint="eastAsia"/>
              <w:sz w:val="21"/>
              <w:szCs w:val="21"/>
              <w:lang w:val="en-US" w:eastAsia="zh-CN"/>
            </w:rPr>
            <w:t>1</w:t>
          </w:r>
          <w:r>
            <w:rPr>
              <w:rFonts w:hint="default"/>
              <w:sz w:val="21"/>
              <w:szCs w:val="21"/>
              <w:lang w:eastAsia="zh-CN"/>
            </w:rPr>
            <w:t>1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管理服务人员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3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3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</w:t>
          </w:r>
          <w:r>
            <w:rPr>
              <w:rFonts w:hint="eastAsia"/>
              <w:sz w:val="21"/>
              <w:szCs w:val="21"/>
              <w:lang w:val="en-US" w:eastAsia="zh-CN"/>
            </w:rPr>
            <w:t>1</w:t>
          </w:r>
          <w:r>
            <w:rPr>
              <w:rFonts w:hint="default"/>
              <w:sz w:val="21"/>
              <w:szCs w:val="21"/>
              <w:lang w:eastAsia="zh-CN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迎新导航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3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4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</w:t>
          </w:r>
          <w:r>
            <w:rPr>
              <w:rFonts w:hint="eastAsia"/>
              <w:sz w:val="21"/>
              <w:szCs w:val="21"/>
              <w:lang w:val="en-US" w:eastAsia="zh-CN"/>
            </w:rPr>
            <w:t>1</w:t>
          </w:r>
          <w:r>
            <w:rPr>
              <w:rFonts w:hint="default"/>
              <w:sz w:val="21"/>
              <w:szCs w:val="21"/>
              <w:lang w:eastAsia="zh-CN"/>
            </w:rPr>
            <w:t>3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财务缴费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3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4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</w:t>
          </w:r>
          <w:r>
            <w:rPr>
              <w:rFonts w:hint="eastAsia"/>
              <w:sz w:val="21"/>
              <w:szCs w:val="21"/>
              <w:lang w:val="en-US" w:eastAsia="zh-CN"/>
            </w:rPr>
            <w:t>1</w:t>
          </w:r>
          <w:r>
            <w:rPr>
              <w:rFonts w:hint="default"/>
              <w:sz w:val="21"/>
              <w:szCs w:val="21"/>
              <w:lang w:eastAsia="zh-CN"/>
            </w:rPr>
            <w:t>4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新生自拍打卡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3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5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</w:t>
          </w:r>
          <w:r>
            <w:rPr>
              <w:rFonts w:hint="eastAsia"/>
              <w:sz w:val="21"/>
              <w:szCs w:val="21"/>
              <w:lang w:val="en-US" w:eastAsia="zh-CN"/>
            </w:rPr>
            <w:t>1</w:t>
          </w:r>
          <w:r>
            <w:rPr>
              <w:rFonts w:hint="default"/>
              <w:sz w:val="21"/>
              <w:szCs w:val="21"/>
              <w:lang w:eastAsia="zh-CN"/>
            </w:rPr>
            <w:t>5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人脸识别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3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6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</w:t>
          </w:r>
          <w:r>
            <w:rPr>
              <w:rFonts w:hint="eastAsia"/>
              <w:sz w:val="21"/>
              <w:szCs w:val="21"/>
              <w:lang w:val="en-US" w:eastAsia="zh-CN"/>
            </w:rPr>
            <w:t>1</w:t>
          </w:r>
          <w:r>
            <w:rPr>
              <w:rFonts w:hint="default"/>
              <w:sz w:val="21"/>
              <w:szCs w:val="21"/>
              <w:lang w:eastAsia="zh-CN"/>
            </w:rPr>
            <w:t>6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到校确认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3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9</w:t>
          </w:r>
        </w:p>
        <w:p>
          <w:pPr>
            <w:spacing w:line="360" w:lineRule="auto"/>
          </w:pPr>
          <w:r>
            <w:rPr>
              <w:sz w:val="21"/>
              <w:szCs w:val="21"/>
            </w:rPr>
            <w:fldChar w:fldCharType="end"/>
          </w:r>
        </w:p>
      </w:sdtContent>
    </w:sdt>
    <w:p>
      <w:pPr>
        <w:adjustRightInd w:val="0"/>
        <w:snapToGrid w:val="0"/>
        <w:spacing w:line="360" w:lineRule="auto"/>
        <w:jc w:val="center"/>
        <w:outlineLvl w:val="9"/>
        <w:rPr>
          <w:rFonts w:hint="eastAsia" w:ascii="黑体" w:hAnsi="宋体" w:eastAsia="黑体" w:cs="Arial"/>
          <w:b/>
          <w:bCs/>
          <w:sz w:val="32"/>
          <w:szCs w:val="32"/>
        </w:rPr>
      </w:pPr>
      <w:r>
        <w:rPr>
          <w:rFonts w:hint="eastAsia" w:ascii="黑体" w:hAnsi="宋体" w:eastAsia="黑体" w:cs="Arial"/>
          <w:b/>
          <w:bCs/>
          <w:sz w:val="32"/>
          <w:szCs w:val="32"/>
        </w:rPr>
        <w:br w:type="page"/>
      </w:r>
    </w:p>
    <w:p>
      <w:pPr>
        <w:pStyle w:val="3"/>
        <w:bidi w:val="0"/>
        <w:outlineLvl w:val="0"/>
        <w:rPr>
          <w:rFonts w:ascii="Times New Roman" w:hAnsi="Times New Roman" w:eastAsia="宋体" w:cs="Times New Roman"/>
          <w:szCs w:val="24"/>
        </w:rPr>
      </w:pPr>
      <w:bookmarkStart w:id="20" w:name="_Toc601096232"/>
      <w:r>
        <w:rPr>
          <w:rFonts w:hint="eastAsia"/>
        </w:rPr>
        <w:t xml:space="preserve">第1章  </w:t>
      </w:r>
      <w:r>
        <w:rPr>
          <w:rFonts w:hint="eastAsia"/>
          <w:lang w:val="en-US" w:eastAsia="zh-Hans"/>
        </w:rPr>
        <w:t>登录</w:t>
      </w:r>
      <w:bookmarkEnd w:id="20"/>
    </w:p>
    <w:p>
      <w:pPr>
        <w:pStyle w:val="4"/>
        <w:bidi w:val="0"/>
        <w:outlineLvl w:val="1"/>
        <w:rPr>
          <w:rFonts w:hint="eastAsia"/>
        </w:rPr>
      </w:pPr>
      <w:bookmarkStart w:id="21" w:name="_Toc861295736"/>
      <w:bookmarkStart w:id="22" w:name="_Toc54238614"/>
      <w:r>
        <w:rPr>
          <w:rFonts w:hint="eastAsia"/>
        </w:rPr>
        <w:t>1.1如何登录</w:t>
      </w:r>
      <w:bookmarkEnd w:id="21"/>
      <w:bookmarkEnd w:id="22"/>
    </w:p>
    <w:p>
      <w:pPr>
        <w:pStyle w:val="2"/>
        <w:keepNext w:val="0"/>
        <w:keepLines w:val="0"/>
        <w:ind w:firstLine="420" w:firstLineChars="200"/>
        <w:rPr>
          <w:rFonts w:hint="eastAsia"/>
          <w:b w:val="0"/>
          <w:color w:val="auto"/>
          <w:kern w:val="2"/>
          <w:szCs w:val="20"/>
          <w:lang w:eastAsia="zh-CN"/>
        </w:rPr>
      </w:pPr>
      <w:bookmarkStart w:id="23" w:name="_Toc108620672"/>
      <w:r>
        <w:rPr>
          <w:rFonts w:hint="eastAsia"/>
          <w:b/>
          <w:bCs w:val="0"/>
          <w:color w:val="auto"/>
          <w:kern w:val="2"/>
          <w:szCs w:val="20"/>
          <w:lang w:val="en-US" w:eastAsia="zh-Hans"/>
        </w:rPr>
        <w:t>手机端</w:t>
      </w:r>
      <w:r>
        <w:rPr>
          <w:rFonts w:hint="eastAsia"/>
          <w:b w:val="0"/>
          <w:color w:val="auto"/>
          <w:kern w:val="2"/>
          <w:szCs w:val="20"/>
          <w:lang w:eastAsia="zh-CN"/>
        </w:rPr>
        <w:t>：</w:t>
      </w:r>
      <w:r>
        <w:rPr>
          <w:rFonts w:hint="eastAsia"/>
          <w:b w:val="0"/>
          <w:color w:val="auto"/>
          <w:kern w:val="2"/>
          <w:szCs w:val="20"/>
          <w:lang w:val="en-US" w:eastAsia="zh-Hans"/>
        </w:rPr>
        <w:t>登录</w:t>
      </w:r>
      <w:r>
        <w:rPr>
          <w:rFonts w:hint="eastAsia"/>
          <w:b w:val="0"/>
          <w:color w:val="auto"/>
          <w:kern w:val="2"/>
          <w:szCs w:val="20"/>
          <w:lang w:val="en-US" w:eastAsia="zh-CN"/>
        </w:rPr>
        <w:t>“</w:t>
      </w:r>
      <w:r>
        <w:rPr>
          <w:rFonts w:hint="eastAsia"/>
          <w:b w:val="0"/>
          <w:color w:val="auto"/>
          <w:kern w:val="2"/>
          <w:szCs w:val="20"/>
          <w:lang w:val="en-US" w:eastAsia="zh-Hans"/>
        </w:rPr>
        <w:t>湖南科大</w:t>
      </w:r>
      <w:r>
        <w:rPr>
          <w:rFonts w:hint="eastAsia"/>
          <w:b w:val="0"/>
          <w:color w:val="auto"/>
          <w:kern w:val="2"/>
          <w:szCs w:val="20"/>
          <w:lang w:val="en-US" w:eastAsia="zh-CN"/>
        </w:rPr>
        <w:t>”</w:t>
      </w:r>
      <w:r>
        <w:rPr>
          <w:rFonts w:hint="default"/>
          <w:b w:val="0"/>
          <w:color w:val="auto"/>
          <w:kern w:val="2"/>
          <w:szCs w:val="20"/>
          <w:lang w:eastAsia="zh-Hans"/>
        </w:rPr>
        <w:t>APP</w:t>
      </w:r>
      <w:r>
        <w:rPr>
          <w:rFonts w:hint="eastAsia"/>
          <w:b w:val="0"/>
          <w:color w:val="auto"/>
          <w:kern w:val="2"/>
          <w:szCs w:val="20"/>
          <w:lang w:val="en-US" w:eastAsia="zh-Hans"/>
        </w:rPr>
        <w:t>之后，点击“</w:t>
      </w:r>
      <w:r>
        <w:rPr>
          <w:rFonts w:hint="eastAsia"/>
          <w:b w:val="0"/>
          <w:color w:val="auto"/>
          <w:kern w:val="2"/>
          <w:szCs w:val="20"/>
          <w:lang w:val="en-US" w:eastAsia="zh-CN"/>
        </w:rPr>
        <w:t>学工服务</w:t>
      </w:r>
      <w:r>
        <w:rPr>
          <w:rFonts w:hint="eastAsia"/>
          <w:b w:val="0"/>
          <w:color w:val="auto"/>
          <w:kern w:val="2"/>
          <w:szCs w:val="20"/>
          <w:lang w:val="en-US" w:eastAsia="zh-Hans"/>
        </w:rPr>
        <w:t>”，在“学工服务”模块中，点击“迎新服务”，</w:t>
      </w:r>
      <w:r>
        <w:rPr>
          <w:rFonts w:hint="eastAsia"/>
          <w:b w:val="0"/>
          <w:color w:val="auto"/>
          <w:kern w:val="2"/>
          <w:szCs w:val="20"/>
          <w:lang w:eastAsia="zh-CN"/>
        </w:rPr>
        <w:t>如下图所示，</w:t>
      </w:r>
      <w:r>
        <w:rPr>
          <w:rFonts w:hint="eastAsia"/>
          <w:b w:val="0"/>
          <w:color w:val="auto"/>
          <w:kern w:val="2"/>
          <w:szCs w:val="20"/>
          <w:lang w:val="en-US" w:eastAsia="zh-CN"/>
        </w:rPr>
        <w:t>登录之前请先完成账号激活</w:t>
      </w:r>
      <w:r>
        <w:rPr>
          <w:rFonts w:hint="eastAsia"/>
          <w:b w:val="0"/>
          <w:color w:val="auto"/>
          <w:kern w:val="2"/>
          <w:szCs w:val="20"/>
          <w:lang w:eastAsia="zh-CN"/>
        </w:rPr>
        <w:t>。</w:t>
      </w:r>
    </w:p>
    <w:p>
      <w:pPr>
        <w:jc w:val="center"/>
      </w:pPr>
      <w:r>
        <w:drawing>
          <wp:inline distT="0" distB="0" distL="114300" distR="114300">
            <wp:extent cx="1579880" cy="3434080"/>
            <wp:effectExtent l="0" t="0" r="20320" b="20320"/>
            <wp:docPr id="1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79880" cy="343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</w:rPr>
        <w:t xml:space="preserve">   </w:t>
      </w:r>
      <w:r>
        <w:rPr>
          <w:rFonts w:hint="eastAsia"/>
          <w:lang w:val="en-US" w:eastAsia="zh-CN"/>
        </w:rPr>
        <w:t xml:space="preserve">   </w:t>
      </w:r>
      <w:r>
        <w:drawing>
          <wp:inline distT="0" distB="0" distL="114300" distR="114300">
            <wp:extent cx="1586865" cy="3435350"/>
            <wp:effectExtent l="0" t="0" r="13335" b="19050"/>
            <wp:docPr id="1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586865" cy="343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ind w:firstLine="420" w:firstLineChars="200"/>
        <w:rPr>
          <w:rFonts w:hint="eastAsia"/>
          <w:b w:val="0"/>
          <w:color w:val="auto"/>
          <w:kern w:val="2"/>
          <w:szCs w:val="20"/>
        </w:rPr>
      </w:pPr>
      <w:r>
        <w:rPr>
          <w:rFonts w:hint="eastAsia"/>
          <w:b/>
          <w:bCs w:val="0"/>
          <w:color w:val="auto"/>
          <w:kern w:val="2"/>
          <w:szCs w:val="20"/>
          <w:lang w:val="en-US" w:eastAsia="zh-Hans"/>
        </w:rPr>
        <w:t>电脑端</w:t>
      </w:r>
      <w:r>
        <w:rPr>
          <w:rFonts w:hint="eastAsia"/>
          <w:b w:val="0"/>
          <w:color w:val="auto"/>
          <w:kern w:val="2"/>
          <w:szCs w:val="20"/>
          <w:lang w:eastAsia="zh-CN"/>
        </w:rPr>
        <w:t>：</w:t>
      </w:r>
      <w:bookmarkEnd w:id="23"/>
      <w:bookmarkStart w:id="24" w:name="_Toc752153018"/>
      <w:r>
        <w:rPr>
          <w:rFonts w:hint="eastAsia"/>
          <w:b w:val="0"/>
          <w:color w:val="auto"/>
          <w:kern w:val="2"/>
          <w:szCs w:val="20"/>
        </w:rPr>
        <w:t>打开浏览器输入“http://xgxt.hnust.edu.cn”进入后，</w:t>
      </w:r>
      <w:r>
        <w:rPr>
          <w:rFonts w:hint="eastAsia"/>
          <w:b w:val="0"/>
          <w:color w:val="auto"/>
          <w:kern w:val="2"/>
          <w:szCs w:val="20"/>
          <w:lang w:val="en-US" w:eastAsia="zh-Hans"/>
        </w:rPr>
        <w:t>输入学号和密码即可进入迎新服务，初次使用请先“激活账号”，推荐使用谷歌浏览器、</w:t>
      </w:r>
      <w:r>
        <w:rPr>
          <w:rFonts w:hint="default"/>
          <w:b w:val="0"/>
          <w:color w:val="auto"/>
          <w:kern w:val="2"/>
          <w:szCs w:val="20"/>
          <w:lang w:eastAsia="zh-Hans"/>
        </w:rPr>
        <w:t>360</w:t>
      </w:r>
      <w:r>
        <w:rPr>
          <w:rFonts w:hint="eastAsia"/>
          <w:b w:val="0"/>
          <w:color w:val="auto"/>
          <w:kern w:val="2"/>
          <w:szCs w:val="20"/>
          <w:lang w:val="en-US" w:eastAsia="zh-Hans"/>
        </w:rPr>
        <w:t>浏览器等主流浏览器</w:t>
      </w:r>
      <w:r>
        <w:rPr>
          <w:rFonts w:hint="eastAsia"/>
          <w:b w:val="0"/>
          <w:color w:val="auto"/>
          <w:kern w:val="2"/>
          <w:szCs w:val="20"/>
        </w:rPr>
        <w:t>。</w:t>
      </w:r>
      <w:bookmarkEnd w:id="24"/>
    </w:p>
    <w:p>
      <w:pPr>
        <w:ind w:firstLine="840" w:firstLineChars="400"/>
        <w:rPr>
          <w:rFonts w:hint="eastAsia" w:ascii="Times New Roman" w:hAnsi="Times New Roman" w:eastAsia="宋体" w:cs="Times New Roman"/>
          <w:szCs w:val="24"/>
          <w:lang w:eastAsia="zh-Hans"/>
        </w:rPr>
      </w:pPr>
      <w:r>
        <w:rPr>
          <w:rFonts w:hint="eastAsia" w:ascii="宋体" w:hAnsi="宋体" w:eastAsia="宋体" w:cs="Times New Roman"/>
          <w:bCs/>
          <w:szCs w:val="24"/>
        </w:rPr>
        <w:t>登录界面如下</w:t>
      </w:r>
      <w:r>
        <w:rPr>
          <w:rFonts w:hint="eastAsia" w:ascii="宋体" w:hAnsi="宋体" w:eastAsia="宋体" w:cs="Times New Roman"/>
          <w:bCs/>
          <w:szCs w:val="24"/>
          <w:lang w:eastAsia="zh-Hans"/>
        </w:rPr>
        <w:t>：</w:t>
      </w:r>
    </w:p>
    <w:p>
      <w:pPr>
        <w:pStyle w:val="4"/>
        <w:bidi w:val="0"/>
        <w:jc w:val="center"/>
        <w:outlineLvl w:val="9"/>
      </w:pPr>
      <w:r>
        <w:drawing>
          <wp:inline distT="0" distB="0" distL="114300" distR="114300">
            <wp:extent cx="5035550" cy="2734310"/>
            <wp:effectExtent l="0" t="0" r="19050" b="8890"/>
            <wp:docPr id="233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8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35550" cy="273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bookmarkEnd w:id="1"/>
    <w:bookmarkEnd w:id="2"/>
    <w:bookmarkEnd w:id="3"/>
    <w:bookmarkEnd w:id="4"/>
    <w:bookmarkEnd w:id="5"/>
    <w:bookmarkEnd w:id="6"/>
    <w:bookmarkEnd w:id="7"/>
    <w:bookmarkEnd w:id="8"/>
    <w:bookmarkEnd w:id="9"/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p>
      <w:pPr>
        <w:rPr>
          <w:rFonts w:hint="eastAsia"/>
          <w:lang w:val="en-US" w:eastAsia="zh-Hans"/>
        </w:rPr>
      </w:pPr>
      <w:bookmarkStart w:id="25" w:name="_Toc1776397569"/>
      <w:r>
        <w:rPr>
          <w:rFonts w:hint="eastAsia"/>
          <w:lang w:val="en-US" w:eastAsia="zh-Hans"/>
        </w:rPr>
        <w:br w:type="page"/>
      </w:r>
    </w:p>
    <w:p>
      <w:pPr>
        <w:pStyle w:val="3"/>
        <w:bidi w:val="0"/>
        <w:outlineLvl w:val="0"/>
        <w:rPr>
          <w:rFonts w:hint="default"/>
          <w:lang w:val="en-US" w:eastAsia="zh-CN"/>
        </w:rPr>
      </w:pPr>
      <w:r>
        <w:rPr>
          <w:rFonts w:hint="eastAsia"/>
          <w:lang w:val="en-US" w:eastAsia="zh-Hans"/>
        </w:rPr>
        <w:t>第</w:t>
      </w:r>
      <w:r>
        <w:rPr>
          <w:rFonts w:hint="default"/>
          <w:lang w:eastAsia="zh-Hans"/>
        </w:rPr>
        <w:t>2</w:t>
      </w:r>
      <w:r>
        <w:rPr>
          <w:rFonts w:hint="eastAsia"/>
          <w:lang w:val="en-US" w:eastAsia="zh-Hans"/>
        </w:rPr>
        <w:t>章</w:t>
      </w:r>
      <w:r>
        <w:rPr>
          <w:rFonts w:hint="eastAsia"/>
        </w:rPr>
        <w:t xml:space="preserve"> </w:t>
      </w:r>
      <w:bookmarkEnd w:id="25"/>
      <w:r>
        <w:rPr>
          <w:rFonts w:hint="eastAsia"/>
          <w:lang w:val="en-US" w:eastAsia="zh-Hans"/>
        </w:rPr>
        <w:t>迎新服务</w:t>
      </w:r>
    </w:p>
    <w:p>
      <w:pPr>
        <w:pStyle w:val="4"/>
        <w:bidi w:val="0"/>
        <w:rPr>
          <w:rFonts w:hint="default"/>
          <w:lang w:val="en-US" w:eastAsia="zh-CN"/>
        </w:rPr>
      </w:pPr>
      <w:bookmarkStart w:id="26" w:name="_Toc1596281589"/>
      <w:r>
        <w:rPr>
          <w:rFonts w:hint="default"/>
          <w:sz w:val="28"/>
          <w:szCs w:val="28"/>
          <w:lang w:eastAsia="zh-CN"/>
        </w:rPr>
        <w:t>2</w:t>
      </w:r>
      <w:r>
        <w:rPr>
          <w:rFonts w:hint="eastAsia"/>
          <w:sz w:val="28"/>
          <w:szCs w:val="28"/>
          <w:lang w:val="en-US" w:eastAsia="zh-CN"/>
        </w:rPr>
        <w:t xml:space="preserve">.1 </w:t>
      </w:r>
      <w:r>
        <w:rPr>
          <w:rFonts w:hint="eastAsia"/>
          <w:sz w:val="28"/>
          <w:szCs w:val="28"/>
          <w:lang w:val="en-US" w:eastAsia="zh-Hans"/>
        </w:rPr>
        <w:t>电脑</w:t>
      </w:r>
      <w:r>
        <w:rPr>
          <w:rFonts w:hint="eastAsia"/>
          <w:sz w:val="28"/>
          <w:szCs w:val="28"/>
          <w:lang w:val="en-US" w:eastAsia="zh-CN"/>
        </w:rPr>
        <w:t>端</w:t>
      </w:r>
      <w:bookmarkEnd w:id="26"/>
      <w:r>
        <w:rPr>
          <w:rFonts w:hint="eastAsia"/>
          <w:sz w:val="28"/>
          <w:szCs w:val="28"/>
          <w:lang w:val="en-US" w:eastAsia="zh-Hans"/>
        </w:rPr>
        <w:t>办理迎新服务</w:t>
      </w:r>
    </w:p>
    <w:p>
      <w:p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Hans"/>
        </w:rPr>
        <w:t>进入系统之后，点击“迎新服务”，点击“</w:t>
      </w:r>
      <w:r>
        <w:rPr>
          <w:rFonts w:hint="eastAsia"/>
          <w:lang w:val="en-US" w:eastAsia="zh-CN"/>
        </w:rPr>
        <w:t>系统</w:t>
      </w:r>
      <w:r>
        <w:rPr>
          <w:rFonts w:hint="eastAsia"/>
          <w:lang w:val="en-US" w:eastAsia="zh-Hans"/>
        </w:rPr>
        <w:t>迎新”进入迎新服务办理中</w:t>
      </w:r>
      <w:r>
        <w:rPr>
          <w:rFonts w:hint="eastAsia"/>
          <w:lang w:val="en-US" w:eastAsia="zh-CN"/>
        </w:rPr>
        <w:t>。</w:t>
      </w:r>
    </w:p>
    <w:p>
      <w:pPr>
        <w:jc w:val="center"/>
      </w:pPr>
      <w:r>
        <w:drawing>
          <wp:inline distT="0" distB="0" distL="114300" distR="114300">
            <wp:extent cx="4991735" cy="2652395"/>
            <wp:effectExtent l="0" t="0" r="12065" b="14605"/>
            <wp:docPr id="2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91735" cy="265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Hans"/>
        </w:rPr>
      </w:pPr>
      <w:r>
        <w:rPr>
          <w:rFonts w:hint="default"/>
        </w:rPr>
        <w:t xml:space="preserve">    </w:t>
      </w:r>
      <w:r>
        <w:rPr>
          <w:rFonts w:hint="eastAsia"/>
          <w:lang w:val="en-US" w:eastAsia="zh-Hans"/>
        </w:rPr>
        <w:t>进入迎新服务之后，迎新服务分为五个模块内容，学习园地、教育管理协议、线上办理、财务缴费、到校办理，需要按顺序进行办理，右上角标识为“必办”的服务为必须办理完成环节，办理完成之后在服务右上角显示“已办理”。</w:t>
      </w:r>
    </w:p>
    <w:p>
      <w:r>
        <w:drawing>
          <wp:inline distT="0" distB="0" distL="114300" distR="114300">
            <wp:extent cx="5273040" cy="2700655"/>
            <wp:effectExtent l="0" t="0" r="10160" b="17145"/>
            <wp:docPr id="2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1598295"/>
            <wp:effectExtent l="0" t="0" r="9525" b="1905"/>
            <wp:docPr id="1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59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2.1.1</w:t>
      </w:r>
      <w:r>
        <w:rPr>
          <w:rFonts w:hint="eastAsia"/>
          <w:sz w:val="24"/>
          <w:szCs w:val="24"/>
          <w:lang w:val="en-US" w:eastAsia="zh-Hans"/>
        </w:rPr>
        <w:t>学习园地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点击“学习园地”即可查询到相关学习资料，点击文件名称即可进行下载学习</w:t>
      </w:r>
      <w:r>
        <w:t>。</w:t>
      </w:r>
    </w:p>
    <w:p>
      <w:r>
        <w:drawing>
          <wp:inline distT="0" distB="0" distL="114300" distR="114300">
            <wp:extent cx="5264150" cy="2901315"/>
            <wp:effectExtent l="0" t="0" r="19050" b="19685"/>
            <wp:docPr id="231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7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901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2.1.2</w:t>
      </w:r>
      <w:r>
        <w:rPr>
          <w:rFonts w:hint="eastAsia"/>
          <w:sz w:val="24"/>
          <w:szCs w:val="24"/>
          <w:lang w:val="en-US" w:eastAsia="zh-Hans"/>
        </w:rPr>
        <w:t>教育管理协议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点击“教育管理协议”，即可进入教育管理协议页面，阅读相关内容，可点击“我同意”，完成办理，请刷新一下网页，更新服务办理完成状态再进行办理其他服务</w:t>
      </w:r>
      <w:r>
        <w:t>。</w:t>
      </w:r>
    </w:p>
    <w:p>
      <w:r>
        <w:drawing>
          <wp:inline distT="0" distB="0" distL="114300" distR="114300">
            <wp:extent cx="5265420" cy="2712720"/>
            <wp:effectExtent l="0" t="0" r="17780" b="5080"/>
            <wp:docPr id="9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71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2.1.3</w:t>
      </w:r>
      <w:r>
        <w:rPr>
          <w:rFonts w:hint="eastAsia"/>
          <w:sz w:val="24"/>
          <w:szCs w:val="24"/>
          <w:lang w:val="en-US" w:eastAsia="zh-Hans"/>
        </w:rPr>
        <w:t>新生选房</w:t>
      </w:r>
    </w:p>
    <w:p>
      <w:r>
        <w:rPr>
          <w:rFonts w:hint="default" w:ascii="宋体"/>
        </w:rPr>
        <w:t xml:space="preserve">    </w:t>
      </w:r>
      <w:r>
        <w:rPr>
          <w:rFonts w:hint="eastAsia" w:ascii="宋体"/>
          <w:lang w:val="en-US" w:eastAsia="zh-Hans"/>
        </w:rPr>
        <w:t>第一步：点击“新生选房”进入选房页面，点击“点击进入”；</w:t>
      </w:r>
    </w:p>
    <w:p>
      <w:r>
        <w:drawing>
          <wp:inline distT="0" distB="0" distL="114300" distR="114300">
            <wp:extent cx="5267325" cy="2485390"/>
            <wp:effectExtent l="0" t="0" r="15875" b="3810"/>
            <wp:docPr id="1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8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二步：进入选房页面，可查看楼栋房间分布图，如果对应可选楼栋涉及多栋楼，请点击上方楼栋选择进行切换，蓝色房间为可选房间，个别楼栋平面图较大，请注意左右上下拖动查看分布，点击“可选房间号”；</w:t>
      </w:r>
    </w:p>
    <w:p>
      <w:r>
        <w:drawing>
          <wp:inline distT="0" distB="0" distL="114300" distR="114300">
            <wp:extent cx="5266690" cy="2518410"/>
            <wp:effectExtent l="0" t="0" r="16510" b="21590"/>
            <wp:docPr id="110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2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1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第三步：进入床位选择页面，点击“床位”，点击“确定”即可完成选房，或点击“随机分配”，系统自动分配床位；</w:t>
      </w:r>
    </w:p>
    <w:p>
      <w:r>
        <w:drawing>
          <wp:inline distT="0" distB="0" distL="114300" distR="114300">
            <wp:extent cx="5264150" cy="2228215"/>
            <wp:effectExtent l="0" t="0" r="19050" b="6985"/>
            <wp:docPr id="111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2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22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第四步：完成选房如下图所示。</w:t>
      </w:r>
    </w:p>
    <w:p>
      <w:r>
        <w:drawing>
          <wp:inline distT="0" distB="0" distL="114300" distR="114300">
            <wp:extent cx="5273675" cy="2487930"/>
            <wp:effectExtent l="0" t="0" r="9525" b="1270"/>
            <wp:docPr id="113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2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48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2.1.4</w:t>
      </w:r>
      <w:r>
        <w:rPr>
          <w:rFonts w:hint="eastAsia"/>
          <w:sz w:val="24"/>
          <w:szCs w:val="24"/>
          <w:lang w:val="en-US" w:eastAsia="zh-Hans"/>
        </w:rPr>
        <w:t>信息采集</w:t>
      </w:r>
    </w:p>
    <w:p>
      <w:pPr>
        <w:spacing w:before="0" w:beforeAutospacing="0" w:after="0" w:afterAutospacing="0" w:line="360" w:lineRule="auto"/>
        <w:ind w:firstLine="420"/>
        <w:rPr>
          <w:rFonts w:hint="eastAsia"/>
        </w:rPr>
      </w:pPr>
      <w:r>
        <w:rPr>
          <w:rFonts w:hint="eastAsia"/>
          <w:lang w:val="en-US" w:eastAsia="zh-Hans"/>
        </w:rPr>
        <w:t>点击“信息采集”，进入信息采集页面，填写相关采集信息，填写信息名称前有“</w:t>
      </w:r>
      <w:r>
        <w:rPr>
          <w:rFonts w:hint="default"/>
          <w:color w:val="FF0000"/>
          <w:lang w:eastAsia="zh-Hans"/>
        </w:rPr>
        <w:t>*</w:t>
      </w:r>
      <w:r>
        <w:rPr>
          <w:rFonts w:hint="eastAsia"/>
          <w:color w:val="000000" w:themeColor="text1"/>
          <w:lang w:eastAsia="zh-Hans"/>
        </w:rPr>
        <w:t>”</w:t>
      </w:r>
      <w:r>
        <w:rPr>
          <w:rFonts w:hint="eastAsia"/>
          <w:color w:val="000000" w:themeColor="text1"/>
          <w:lang w:val="en-US" w:eastAsia="zh-Hans"/>
        </w:rPr>
        <w:t>为必须填写信息，家庭成员和主要社会关系至少填写一位，教育经历从初中开始填写信息，请确保填写信息的准确性，点击“保存”，即可完成服务办理。</w:t>
      </w:r>
    </w:p>
    <w:p>
      <w:pPr>
        <w:spacing w:before="0" w:beforeAutospacing="0" w:after="0" w:afterAutospacing="0" w:line="360" w:lineRule="auto"/>
        <w:ind w:firstLine="42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主要社会关系填写直系亲属之外的联系人。</w:t>
      </w:r>
    </w:p>
    <w:p>
      <w:pPr>
        <w:jc w:val="center"/>
      </w:pPr>
      <w:r>
        <w:drawing>
          <wp:inline distT="0" distB="0" distL="114300" distR="114300">
            <wp:extent cx="4949190" cy="2508885"/>
            <wp:effectExtent l="0" t="0" r="3810" b="5715"/>
            <wp:docPr id="9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1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949190" cy="250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4881880" cy="2381885"/>
            <wp:effectExtent l="0" t="0" r="20320" b="5715"/>
            <wp:docPr id="235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8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881880" cy="238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2.1.5</w:t>
      </w:r>
      <w:r>
        <w:rPr>
          <w:rFonts w:hint="eastAsia"/>
          <w:sz w:val="24"/>
          <w:szCs w:val="24"/>
          <w:lang w:val="en-US" w:eastAsia="zh-Hans"/>
        </w:rPr>
        <w:t>照片采集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点击“照片采集”，进入采集说明页面，点击“照片采集系统”，进入人脸信息采集系统，采集完成之后，点击下方“已完成采集”按钮，完成服务办理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114300" distR="114300">
            <wp:extent cx="4741545" cy="2308225"/>
            <wp:effectExtent l="0" t="0" r="8255" b="3175"/>
            <wp:docPr id="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741545" cy="230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4642485" cy="2537460"/>
            <wp:effectExtent l="0" t="0" r="5715" b="2540"/>
            <wp:docPr id="1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642485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2.1.6</w:t>
      </w:r>
      <w:r>
        <w:rPr>
          <w:rFonts w:hint="eastAsia"/>
          <w:sz w:val="24"/>
          <w:szCs w:val="24"/>
          <w:lang w:val="en-US" w:eastAsia="zh-Hans"/>
        </w:rPr>
        <w:t>入学教育</w:t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第一步：点击“入学教育”，提示相关信息，点击“前往学习园地”即可打开学习园地服务，点击“我已学习”；</w:t>
      </w:r>
    </w:p>
    <w:p>
      <w:r>
        <w:drawing>
          <wp:inline distT="0" distB="0" distL="114300" distR="114300">
            <wp:extent cx="4996815" cy="2322830"/>
            <wp:effectExtent l="0" t="0" r="6985" b="13970"/>
            <wp:docPr id="119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3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232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第二步：进入答题页面，即可查询到考试相关信息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答题时间、题数、答题次数</w:t>
      </w:r>
      <w:r>
        <w:rPr>
          <w:rFonts w:hint="default"/>
          <w:lang w:eastAsia="zh-Hans"/>
        </w:rPr>
        <w:t>)</w:t>
      </w:r>
      <w:r>
        <w:rPr>
          <w:rFonts w:hint="eastAsia"/>
          <w:lang w:val="en-US" w:eastAsia="zh-Hans"/>
        </w:rPr>
        <w:t>，点击“马上答题”；</w:t>
      </w:r>
    </w:p>
    <w:p>
      <w:r>
        <w:drawing>
          <wp:inline distT="0" distB="0" distL="114300" distR="114300">
            <wp:extent cx="5113655" cy="1814195"/>
            <wp:effectExtent l="0" t="0" r="17145" b="14605"/>
            <wp:docPr id="120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3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113655" cy="181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第三步：进入答题页面，完成所以题目选择之后，点击“交卷”，即可完成考试，必须考试及格，才能完成服务办理；</w:t>
      </w:r>
    </w:p>
    <w:p>
      <w:r>
        <w:drawing>
          <wp:inline distT="0" distB="0" distL="114300" distR="114300">
            <wp:extent cx="5054600" cy="2755900"/>
            <wp:effectExtent l="0" t="0" r="0" b="12700"/>
            <wp:docPr id="121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3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054600" cy="275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第四步：点击“再检查一下”，即可再进行修改</w:t>
      </w:r>
      <w:r>
        <w:rPr>
          <w:rFonts w:hint="eastAsia"/>
          <w:lang w:eastAsia="zh-Hans"/>
        </w:rPr>
        <w:t>，</w:t>
      </w:r>
      <w:r>
        <w:rPr>
          <w:rFonts w:hint="eastAsia"/>
          <w:lang w:val="en-US" w:eastAsia="zh-Hans"/>
        </w:rPr>
        <w:t>答题时间到了之后自动提交，点击“确定”按钮完成答题；</w:t>
      </w:r>
    </w:p>
    <w:p>
      <w:r>
        <w:drawing>
          <wp:inline distT="0" distB="0" distL="114300" distR="114300">
            <wp:extent cx="5264785" cy="2760980"/>
            <wp:effectExtent l="0" t="0" r="18415" b="7620"/>
            <wp:docPr id="122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3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76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第五步：提交之后显示答题分数，需要考试及格，即可完成服务办理，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点击“再试一次”即可再进行答题，答题次数使用完毕之后，则当天无法进行答题，请次日再进行答题，</w:t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点击“查看答题情况”；</w:t>
      </w:r>
    </w:p>
    <w:p>
      <w:r>
        <w:drawing>
          <wp:inline distT="0" distB="0" distL="114300" distR="114300">
            <wp:extent cx="5268595" cy="1691640"/>
            <wp:effectExtent l="0" t="0" r="14605" b="10160"/>
            <wp:docPr id="124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3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69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第六步：进入答题结果页面，答题错误的提示会使用红色字体标识，正确的答案选项使用绿色字体标识。</w:t>
      </w:r>
    </w:p>
    <w:p>
      <w:r>
        <w:drawing>
          <wp:inline distT="0" distB="0" distL="114300" distR="114300">
            <wp:extent cx="5273040" cy="2662555"/>
            <wp:effectExtent l="0" t="0" r="10160" b="4445"/>
            <wp:docPr id="125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3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6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2.1.7</w:t>
      </w:r>
      <w:r>
        <w:rPr>
          <w:rFonts w:hint="eastAsia"/>
          <w:sz w:val="24"/>
          <w:szCs w:val="24"/>
          <w:lang w:val="en-US" w:eastAsia="zh-Hans"/>
        </w:rPr>
        <w:t>学平险选择</w:t>
      </w:r>
    </w:p>
    <w:p>
      <w:pPr>
        <w:ind w:firstLine="420" w:firstLineChars="200"/>
        <w:rPr>
          <w:rFonts w:hint="default"/>
          <w:lang w:val="en-US" w:eastAsia="zh-Hans"/>
        </w:rPr>
      </w:pPr>
      <w:r>
        <w:rPr>
          <w:rFonts w:hint="default"/>
          <w:lang w:eastAsia="zh-Hans"/>
        </w:rPr>
        <w:t>1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购买学平险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点击“学平险选择”，进入学平险介绍页面，仔细阅读相关信息，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使用微信扫码，付款成功之后，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将付款成功页面进行上传，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点击“我已完成支付”，完成办理，</w:t>
      </w:r>
    </w:p>
    <w:p>
      <w:pPr>
        <w:ind w:firstLine="420" w:firstLineChars="200"/>
      </w:pPr>
      <w:r>
        <w:rPr>
          <w:rFonts w:hint="eastAsia"/>
          <w:lang w:val="en-US" w:eastAsia="zh-Hans"/>
        </w:rPr>
        <w:t>未上传成功付款截图，无法完成服务办理</w:t>
      </w:r>
      <w:r>
        <w:rPr>
          <w:rFonts w:hint="eastAsia"/>
        </w:rPr>
        <w:t>。</w:t>
      </w:r>
    </w:p>
    <w:p>
      <w:r>
        <w:drawing>
          <wp:inline distT="0" distB="0" distL="114300" distR="114300">
            <wp:extent cx="4615815" cy="2533650"/>
            <wp:effectExtent l="0" t="0" r="6985" b="6350"/>
            <wp:docPr id="130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4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61581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525" w:leftChars="0" w:firstLine="0" w:firstLineChars="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放弃购买学平险选择</w:t>
      </w:r>
    </w:p>
    <w:p>
      <w:pPr>
        <w:numPr>
          <w:ilvl w:val="0"/>
          <w:numId w:val="0"/>
        </w:numPr>
        <w:ind w:left="525" w:leftChars="0"/>
        <w:rPr>
          <w:rFonts w:hint="default"/>
          <w:lang w:val="en-US" w:eastAsia="zh-Hans"/>
        </w:rPr>
      </w:pPr>
      <w:r>
        <w:rPr>
          <w:rFonts w:hint="eastAsia"/>
          <w:lang w:val="en-US" w:eastAsia="zh-Hans"/>
        </w:rPr>
        <w:t>第一步：点击“家长确认签名”，</w:t>
      </w:r>
    </w:p>
    <w:p>
      <w:r>
        <w:drawing>
          <wp:inline distT="0" distB="0" distL="114300" distR="114300">
            <wp:extent cx="4609465" cy="2200275"/>
            <wp:effectExtent l="0" t="0" r="13335" b="9525"/>
            <wp:docPr id="131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44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60946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第二步：阅读“自愿放弃购买学平险承诺书”，家长进行签名，请正楷签名，点击“确定”按钮完成签名；</w:t>
      </w:r>
    </w:p>
    <w:p>
      <w:r>
        <w:drawing>
          <wp:inline distT="0" distB="0" distL="114300" distR="114300">
            <wp:extent cx="4617720" cy="2475865"/>
            <wp:effectExtent l="0" t="0" r="5080" b="13335"/>
            <wp:docPr id="132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4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617720" cy="247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4580255" cy="816610"/>
            <wp:effectExtent l="0" t="0" r="17145" b="21590"/>
            <wp:docPr id="133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4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580255" cy="81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Hans"/>
        </w:rPr>
      </w:pPr>
      <w:r>
        <w:rPr>
          <w:rFonts w:hint="default"/>
        </w:rPr>
        <w:t xml:space="preserve">    </w:t>
      </w:r>
      <w:r>
        <w:rPr>
          <w:rFonts w:hint="eastAsia"/>
          <w:lang w:val="en-US" w:eastAsia="zh-Hans"/>
        </w:rPr>
        <w:t>第三步：点击“学生确认签名”，本人进行签名，请正楷签名，点击“确定”按钮完成签名，家长和本人均确认签名，则本服务完成办理</w:t>
      </w:r>
      <w:r>
        <w:rPr>
          <w:rFonts w:hint="eastAsia"/>
          <w:lang w:val="en-US" w:eastAsia="zh-CN"/>
        </w:rPr>
        <w:t>，已确认放弃购买，需要重新购买可点击“撤销放弃”，重新进行购买</w:t>
      </w:r>
      <w:r>
        <w:rPr>
          <w:rFonts w:hint="eastAsia"/>
          <w:lang w:val="en-US" w:eastAsia="zh-Hans"/>
        </w:rPr>
        <w:t>。</w:t>
      </w:r>
    </w:p>
    <w:p>
      <w:r>
        <w:drawing>
          <wp:inline distT="0" distB="0" distL="114300" distR="114300">
            <wp:extent cx="4596765" cy="2465070"/>
            <wp:effectExtent l="0" t="0" r="635" b="24130"/>
            <wp:docPr id="134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4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596765" cy="246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4569460" cy="814070"/>
            <wp:effectExtent l="0" t="0" r="2540" b="24130"/>
            <wp:docPr id="135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4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569460" cy="81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2.1.8</w:t>
      </w:r>
      <w:r>
        <w:rPr>
          <w:rFonts w:hint="eastAsia"/>
          <w:sz w:val="24"/>
          <w:szCs w:val="24"/>
          <w:lang w:val="en-US" w:eastAsia="zh-Hans"/>
        </w:rPr>
        <w:t>到站登记</w:t>
      </w:r>
    </w:p>
    <w:p>
      <w:pPr>
        <w:spacing w:before="0" w:beforeAutospacing="0" w:after="0" w:afterAutospacing="0" w:line="360" w:lineRule="auto"/>
        <w:ind w:firstLine="630" w:firstLineChars="300"/>
        <w:rPr>
          <w:rFonts w:hint="default"/>
          <w:lang w:val="en-US" w:eastAsia="zh-Hans"/>
        </w:rPr>
      </w:pPr>
      <w:r>
        <w:rPr>
          <w:rFonts w:hint="default"/>
          <w:lang w:eastAsia="zh-Hans"/>
        </w:rPr>
        <w:t>1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到校登记</w:t>
      </w:r>
    </w:p>
    <w:p>
      <w:pPr>
        <w:spacing w:before="0" w:beforeAutospacing="0" w:after="0" w:afterAutospacing="0" w:line="360" w:lineRule="auto"/>
        <w:ind w:firstLine="630" w:firstLineChars="300"/>
      </w:pPr>
      <w:r>
        <w:rPr>
          <w:rFonts w:hint="eastAsia"/>
          <w:lang w:val="en-US" w:eastAsia="zh-Hans"/>
        </w:rPr>
        <w:t>点击“到站登记”，</w:t>
      </w:r>
      <w:r>
        <w:rPr>
          <w:rFonts w:hint="eastAsia"/>
        </w:rPr>
        <w:t>填写自己的到站信息，包括到达站点、到达日期、到达时间、随行人数，</w:t>
      </w:r>
      <w:r>
        <w:rPr>
          <w:rFonts w:hint="eastAsia"/>
          <w:lang w:val="en-US" w:eastAsia="zh-Hans"/>
        </w:rPr>
        <w:t>便于学校根据到达情况合理安排车辆接送，</w:t>
      </w:r>
      <w:r>
        <w:rPr>
          <w:rFonts w:hint="eastAsia"/>
        </w:rPr>
        <w:t>根据填写到达站点，可查看站点到学校的</w:t>
      </w:r>
      <w:r>
        <w:rPr>
          <w:rFonts w:hint="eastAsia"/>
          <w:lang w:val="en-US" w:eastAsia="zh-Hans"/>
        </w:rPr>
        <w:t>路线</w:t>
      </w:r>
      <w:r>
        <w:t>。</w:t>
      </w:r>
    </w:p>
    <w:p>
      <w:pPr>
        <w:spacing w:before="0" w:beforeAutospacing="0" w:after="0" w:afterAutospacing="0" w:line="360" w:lineRule="auto"/>
      </w:pPr>
      <w:r>
        <w:drawing>
          <wp:inline distT="0" distB="0" distL="114300" distR="114300">
            <wp:extent cx="5271135" cy="2355215"/>
            <wp:effectExtent l="0" t="0" r="12065" b="6985"/>
            <wp:docPr id="140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5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55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0" w:beforeAutospacing="0" w:after="0" w:afterAutospacing="0" w:line="360" w:lineRule="auto"/>
        <w:ind w:firstLine="840" w:firstLineChars="400"/>
        <w:rPr>
          <w:rFonts w:hint="default"/>
          <w:lang w:val="en-US" w:eastAsia="zh-Hans"/>
        </w:rPr>
      </w:pPr>
      <w:r>
        <w:rPr>
          <w:rFonts w:hint="default"/>
          <w:lang w:eastAsia="zh-Hans"/>
        </w:rPr>
        <w:t>2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无法到校登记</w:t>
      </w:r>
    </w:p>
    <w:p>
      <w:pPr>
        <w:spacing w:before="0" w:beforeAutospacing="0" w:after="0" w:afterAutospacing="0" w:line="360" w:lineRule="auto"/>
        <w:ind w:firstLine="840" w:firstLineChars="400"/>
        <w:rPr>
          <w:rFonts w:hint="eastAsia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第一步：点击“登记无法到校原因”；</w:t>
      </w:r>
    </w:p>
    <w:p>
      <w:pPr>
        <w:spacing w:before="0" w:beforeAutospacing="0" w:after="0" w:afterAutospacing="0" w:line="360" w:lineRule="auto"/>
      </w:pPr>
      <w:r>
        <w:drawing>
          <wp:inline distT="0" distB="0" distL="114300" distR="114300">
            <wp:extent cx="5264785" cy="2493010"/>
            <wp:effectExtent l="0" t="0" r="18415" b="21590"/>
            <wp:docPr id="141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5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49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0" w:beforeAutospacing="0" w:after="0" w:afterAutospacing="0" w:line="360" w:lineRule="auto"/>
        <w:ind w:firstLine="840" w:firstLineChars="4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第二步：选择“无法报到原因”和“情况说明”，点击“确定”，完成登记。</w:t>
      </w:r>
    </w:p>
    <w:p>
      <w:pPr>
        <w:spacing w:before="0" w:beforeAutospacing="0" w:after="0" w:afterAutospacing="0" w:line="360" w:lineRule="auto"/>
      </w:pPr>
      <w:r>
        <w:drawing>
          <wp:inline distT="0" distB="0" distL="114300" distR="114300">
            <wp:extent cx="5271135" cy="3490595"/>
            <wp:effectExtent l="0" t="0" r="12065" b="14605"/>
            <wp:docPr id="142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5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49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2.1.9</w:t>
      </w:r>
      <w:r>
        <w:rPr>
          <w:rFonts w:hint="eastAsia"/>
          <w:sz w:val="24"/>
          <w:szCs w:val="24"/>
          <w:lang w:val="en-US" w:eastAsia="zh-Hans"/>
        </w:rPr>
        <w:t>绿色通道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点击“绿色通道”，进入绿色通道办理页面，可查询到总费用，应缴总额、已缴总额、未缴总额，点击“缓缴类型”，即可进入申请页面</w:t>
      </w:r>
      <w:r>
        <w:rPr>
          <w:rFonts w:hint="eastAsia"/>
        </w:rPr>
        <w:t>。</w:t>
      </w:r>
    </w:p>
    <w:p>
      <w:r>
        <w:drawing>
          <wp:inline distT="0" distB="0" distL="114300" distR="114300">
            <wp:extent cx="5269230" cy="2674620"/>
            <wp:effectExtent l="0" t="0" r="13970" b="17780"/>
            <wp:docPr id="143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54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67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rPr>
          <w:rFonts w:hint="default"/>
          <w:lang w:eastAsia="zh-Hans"/>
        </w:rPr>
      </w:pPr>
      <w:r>
        <w:rPr>
          <w:rFonts w:hint="eastAsia"/>
          <w:lang w:val="en-US" w:eastAsia="zh-Hans"/>
        </w:rPr>
        <w:t>已申请生源地贷款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国开</w:t>
      </w:r>
      <w:r>
        <w:rPr>
          <w:rFonts w:hint="default"/>
          <w:lang w:eastAsia="zh-Hans"/>
        </w:rPr>
        <w:t>)</w:t>
      </w:r>
    </w:p>
    <w:p>
      <w:pPr>
        <w:keepNext w:val="0"/>
        <w:keepLines w:val="0"/>
        <w:widowControl/>
        <w:suppressLineNumbers w:val="0"/>
        <w:ind w:firstLine="420" w:firstLineChars="200"/>
        <w:jc w:val="left"/>
        <w:rPr>
          <w:rFonts w:hint="default"/>
          <w:lang w:val="en-US" w:eastAsia="zh-Hans"/>
        </w:rPr>
      </w:pPr>
      <w:r>
        <w:rPr>
          <w:rFonts w:hint="eastAsia"/>
          <w:lang w:val="en-US" w:eastAsia="zh-Hans"/>
        </w:rPr>
        <w:t>选择“已申请生源地贷款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国开</w:t>
      </w:r>
      <w:r>
        <w:rPr>
          <w:rFonts w:hint="default"/>
          <w:lang w:eastAsia="zh-Hans"/>
        </w:rPr>
        <w:t>)</w:t>
      </w:r>
      <w:r>
        <w:rPr>
          <w:rFonts w:hint="eastAsia"/>
          <w:lang w:val="en-US" w:eastAsia="zh-Hans"/>
        </w:rPr>
        <w:t>”，点击上传“证明材料”，证明材料为</w:t>
      </w:r>
      <w:r>
        <w:rPr>
          <w:rFonts w:hint="eastAsia"/>
          <w:lang w:val="en-US" w:eastAsia="zh-CN"/>
        </w:rPr>
        <w:t>国家开发银行</w:t>
      </w:r>
      <w:r>
        <w:rPr>
          <w:rFonts w:hint="eastAsia"/>
          <w:lang w:val="en-US" w:eastAsia="zh-Hans"/>
        </w:rPr>
        <w:t>回执单</w:t>
      </w:r>
      <w:r>
        <w:rPr>
          <w:rFonts w:hint="eastAsia"/>
          <w:lang w:val="en-US" w:eastAsia="zh-CN"/>
        </w:rPr>
        <w:t>，上传照片文字方向须朝上才可识别出回执验证码</w:t>
      </w:r>
      <w:r>
        <w:rPr>
          <w:rFonts w:hint="eastAsia"/>
          <w:lang w:val="en-US" w:eastAsia="zh-Hans"/>
        </w:rPr>
        <w:t>，避免无法自动识别出“贷款金额”和“回执验证码”，填写“缓缴金额”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不能大于应缴总金额</w:t>
      </w:r>
      <w:r>
        <w:rPr>
          <w:rFonts w:hint="default"/>
          <w:lang w:eastAsia="zh-Hans"/>
        </w:rPr>
        <w:t>)</w:t>
      </w:r>
      <w:r>
        <w:rPr>
          <w:rFonts w:hint="eastAsia"/>
          <w:lang w:val="en-US" w:eastAsia="zh-Hans"/>
        </w:rPr>
        <w:t>，填写“申请陈述”，点击“提交申请”即可完成。</w:t>
      </w:r>
    </w:p>
    <w:p>
      <w:r>
        <w:drawing>
          <wp:inline distT="0" distB="0" distL="114300" distR="114300">
            <wp:extent cx="5270500" cy="3404870"/>
            <wp:effectExtent l="0" t="0" r="12700" b="2413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04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ind w:left="0" w:leftChars="0" w:firstLine="0" w:firstLineChars="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家庭经济困难学生学费缓交</w:t>
      </w:r>
    </w:p>
    <w:p>
      <w:pPr>
        <w:numPr>
          <w:ilvl w:val="0"/>
          <w:numId w:val="0"/>
        </w:numPr>
        <w:ind w:leftChars="0" w:firstLine="420" w:firstLineChars="200"/>
        <w:rPr>
          <w:rFonts w:hint="default"/>
          <w:lang w:val="en-US" w:eastAsia="zh-Hans"/>
        </w:rPr>
      </w:pPr>
      <w:r>
        <w:rPr>
          <w:rFonts w:hint="eastAsia"/>
          <w:lang w:val="en-US" w:eastAsia="zh-Hans"/>
        </w:rPr>
        <w:t>选择“家庭经济困难学生学费缓交”，填写“缓缴金额”、“承诺最后还款时间”、“申请陈述”，上传“申请书”，点击“提交申请”即可完成。</w:t>
      </w:r>
    </w:p>
    <w:p>
      <w:r>
        <w:drawing>
          <wp:inline distT="0" distB="0" distL="114300" distR="114300">
            <wp:extent cx="5266690" cy="3416935"/>
            <wp:effectExtent l="0" t="0" r="16510" b="12065"/>
            <wp:docPr id="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41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已申请生源地贷款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非国开</w:t>
      </w:r>
      <w:r>
        <w:rPr>
          <w:rFonts w:hint="default"/>
          <w:lang w:eastAsia="zh-Hans"/>
        </w:rPr>
        <w:t>)</w:t>
      </w:r>
    </w:p>
    <w:p>
      <w:pPr>
        <w:ind w:firstLine="420" w:firstLineChars="200"/>
        <w:rPr>
          <w:rFonts w:hint="default"/>
          <w:lang w:val="en-US"/>
        </w:rPr>
      </w:pPr>
      <w:r>
        <w:rPr>
          <w:rFonts w:hint="eastAsia"/>
          <w:lang w:val="en-US" w:eastAsia="zh-Hans"/>
        </w:rPr>
        <w:t>选择“已申请生源地贷款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非国开</w:t>
      </w:r>
      <w:r>
        <w:rPr>
          <w:rFonts w:hint="default"/>
          <w:lang w:eastAsia="zh-Hans"/>
        </w:rPr>
        <w:t>)</w:t>
      </w:r>
      <w:r>
        <w:rPr>
          <w:rFonts w:hint="eastAsia"/>
          <w:lang w:val="en-US" w:eastAsia="zh-Hans"/>
        </w:rPr>
        <w:t>”，填写“贷款金额”、“缓缴金额”、“贷款银行名称”、“申请陈述”，上传“办理贷款有效证明材料”，点击“提交申请”即可完成。</w:t>
      </w:r>
    </w:p>
    <w:p>
      <w:r>
        <w:drawing>
          <wp:inline distT="0" distB="0" distL="114300" distR="114300">
            <wp:extent cx="5266690" cy="3399155"/>
            <wp:effectExtent l="0" t="0" r="16510" b="444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39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2.1.10</w:t>
      </w:r>
      <w:r>
        <w:rPr>
          <w:rFonts w:hint="eastAsia"/>
          <w:sz w:val="24"/>
          <w:szCs w:val="24"/>
          <w:lang w:val="en-US" w:eastAsia="zh-Hans"/>
        </w:rPr>
        <w:t>同班级学生查询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点击“同班级学生查询”，即可查询到本班学生信息，点击右上角“公开我的联系方式”，同班同学即可查询到联系方式</w:t>
      </w:r>
      <w:r>
        <w:rPr>
          <w:rFonts w:hint="eastAsia"/>
        </w:rPr>
        <w:t>。</w:t>
      </w:r>
    </w:p>
    <w:p>
      <w:r>
        <w:drawing>
          <wp:inline distT="0" distB="0" distL="114300" distR="114300">
            <wp:extent cx="5268595" cy="2244090"/>
            <wp:effectExtent l="0" t="0" r="14605" b="16510"/>
            <wp:docPr id="147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58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24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2.1.11</w:t>
      </w:r>
      <w:r>
        <w:rPr>
          <w:rFonts w:hint="eastAsia"/>
          <w:sz w:val="24"/>
          <w:szCs w:val="24"/>
          <w:lang w:val="en-US" w:eastAsia="zh-Hans"/>
        </w:rPr>
        <w:t>管理服务人员</w:t>
      </w:r>
    </w:p>
    <w:p>
      <w:pPr>
        <w:rPr>
          <w:rFonts w:hint="default" w:eastAsiaTheme="minorEastAsia"/>
          <w:lang w:val="en-US" w:eastAsia="zh-Hans"/>
        </w:rPr>
      </w:pPr>
      <w:r>
        <w:rPr>
          <w:rFonts w:hint="default"/>
        </w:rPr>
        <w:t xml:space="preserve">    </w:t>
      </w:r>
      <w:r>
        <w:rPr>
          <w:rFonts w:hint="eastAsia"/>
          <w:lang w:val="en-US" w:eastAsia="zh-Hans"/>
        </w:rPr>
        <w:t>点击“管理服务人员”，即可查询到“辅导员”、“班主任”、“养成教育辅导员”、“志愿者”的姓名和联系电话，志愿者信息需要选房成功之后才显示。</w:t>
      </w:r>
    </w:p>
    <w:p>
      <w:r>
        <w:drawing>
          <wp:inline distT="0" distB="0" distL="114300" distR="114300">
            <wp:extent cx="5266690" cy="2744470"/>
            <wp:effectExtent l="0" t="0" r="16510" b="24130"/>
            <wp:docPr id="148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59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4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2.1.12</w:t>
      </w:r>
      <w:r>
        <w:rPr>
          <w:rFonts w:hint="eastAsia"/>
          <w:sz w:val="24"/>
          <w:szCs w:val="24"/>
          <w:lang w:val="en-US" w:eastAsia="zh-Hans"/>
        </w:rPr>
        <w:t>财务缴费</w:t>
      </w:r>
    </w:p>
    <w:p>
      <w:pPr>
        <w:ind w:firstLine="420" w:firstLineChars="200"/>
        <w:jc w:val="both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第一步：点击“财务缴费”，即可查询到缴费信息的明细和合计，</w:t>
      </w:r>
    </w:p>
    <w:p>
      <w:pPr>
        <w:ind w:firstLine="420" w:firstLineChars="200"/>
        <w:jc w:val="both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完成所有缴费即可完成服务办理，</w:t>
      </w:r>
    </w:p>
    <w:p>
      <w:pPr>
        <w:ind w:firstLine="420" w:firstLineChars="200"/>
        <w:jc w:val="both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绿色通道申请审核通过之后，贷款金额和缓交金额等于应缴金额，服务办理完成，</w:t>
      </w:r>
    </w:p>
    <w:p>
      <w:pPr>
        <w:ind w:firstLine="420" w:firstLineChars="200"/>
        <w:jc w:val="both"/>
        <w:rPr>
          <w:rFonts w:hint="default"/>
          <w:lang w:val="en-US" w:eastAsia="zh-Hans"/>
        </w:rPr>
      </w:pPr>
      <w:r>
        <w:rPr>
          <w:rFonts w:hint="eastAsia"/>
          <w:lang w:val="en-US" w:eastAsia="zh-Hans"/>
        </w:rPr>
        <w:t>点击“前往缴费”，</w:t>
      </w:r>
    </w:p>
    <w:p>
      <w:pPr>
        <w:jc w:val="center"/>
      </w:pPr>
      <w:r>
        <w:drawing>
          <wp:inline distT="0" distB="0" distL="114300" distR="114300">
            <wp:extent cx="5269230" cy="2263140"/>
            <wp:effectExtent l="0" t="0" r="13970" b="22860"/>
            <wp:docPr id="152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6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26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jc w:val="left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第二步：进入缴费须知页面，可按提示完成缴费，缴费完成之后，请刷新页面，再进入“财务缴费”中，查询缴费情况。</w:t>
      </w:r>
    </w:p>
    <w:p>
      <w:pPr>
        <w:jc w:val="center"/>
      </w:pPr>
      <w:r>
        <w:drawing>
          <wp:inline distT="0" distB="0" distL="114300" distR="114300">
            <wp:extent cx="5330190" cy="2609215"/>
            <wp:effectExtent l="0" t="0" r="3810" b="6985"/>
            <wp:docPr id="3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6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330190" cy="260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default"/>
          <w:sz w:val="28"/>
          <w:szCs w:val="28"/>
          <w:lang w:val="en-US" w:eastAsia="zh-Hans"/>
        </w:rPr>
      </w:pPr>
      <w:r>
        <w:rPr>
          <w:rFonts w:hint="default"/>
          <w:sz w:val="28"/>
          <w:szCs w:val="28"/>
          <w:lang w:eastAsia="zh-CN"/>
        </w:rPr>
        <w:t>2</w:t>
      </w:r>
      <w:r>
        <w:rPr>
          <w:rFonts w:hint="eastAsia"/>
          <w:sz w:val="28"/>
          <w:szCs w:val="28"/>
          <w:lang w:val="en-US" w:eastAsia="zh-CN"/>
        </w:rPr>
        <w:t>.</w:t>
      </w:r>
      <w:r>
        <w:rPr>
          <w:rFonts w:hint="default"/>
          <w:sz w:val="28"/>
          <w:szCs w:val="28"/>
          <w:lang w:eastAsia="zh-CN"/>
        </w:rPr>
        <w:t>2</w:t>
      </w:r>
      <w:r>
        <w:rPr>
          <w:rFonts w:hint="eastAsia"/>
          <w:sz w:val="28"/>
          <w:szCs w:val="28"/>
          <w:lang w:val="en-US" w:eastAsia="zh-Hans"/>
        </w:rPr>
        <w:t>手机端办理迎新服务</w:t>
      </w:r>
    </w:p>
    <w:p>
      <w:p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Hans"/>
        </w:rPr>
        <w:t>进入迎新服务之后，迎新服务分为五个模块内容，学习园地、教育管理协议、线上办理、财务缴费、到校办理，需要按顺序进行办理，服务前面有“</w:t>
      </w:r>
      <w:r>
        <w:rPr>
          <w:rFonts w:hint="default"/>
          <w:color w:val="FF0000"/>
          <w:lang w:eastAsia="zh-Hans"/>
        </w:rPr>
        <w:t>*</w:t>
      </w:r>
      <w:r>
        <w:rPr>
          <w:rFonts w:hint="eastAsia"/>
          <w:lang w:val="en-US" w:eastAsia="zh-Hans"/>
        </w:rPr>
        <w:t>”为必须办理完成环节，办理完成之后在服务名称后显示“</w:t>
      </w:r>
      <w:r>
        <w:drawing>
          <wp:inline distT="0" distB="0" distL="114300" distR="114300">
            <wp:extent cx="206375" cy="148590"/>
            <wp:effectExtent l="0" t="0" r="22225" b="3810"/>
            <wp:docPr id="238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8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06375" cy="14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eastAsia="zh-Hans"/>
        </w:rPr>
        <w:t>”</w:t>
      </w:r>
      <w:r>
        <w:rPr>
          <w:rFonts w:hint="eastAsia"/>
          <w:lang w:val="en-US" w:eastAsia="zh-CN"/>
        </w:rPr>
        <w:t>。</w:t>
      </w:r>
    </w:p>
    <w:p/>
    <w:p/>
    <w:p/>
    <w:p>
      <w:pPr>
        <w:jc w:val="center"/>
      </w:pPr>
      <w:r>
        <w:drawing>
          <wp:inline distT="0" distB="0" distL="114300" distR="114300">
            <wp:extent cx="2165350" cy="3689985"/>
            <wp:effectExtent l="0" t="0" r="19050" b="18415"/>
            <wp:docPr id="2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165350" cy="368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1976755" cy="1784350"/>
            <wp:effectExtent l="0" t="0" r="4445" b="19050"/>
            <wp:docPr id="2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976755" cy="178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2.2.1</w:t>
      </w:r>
      <w:r>
        <w:rPr>
          <w:rFonts w:hint="eastAsia"/>
          <w:sz w:val="24"/>
          <w:szCs w:val="24"/>
          <w:lang w:val="en-US" w:eastAsia="zh-Hans"/>
        </w:rPr>
        <w:t>学习园地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点击“学习园地”即可查询到相关学习资料，点击文件名称即可在线学习</w:t>
      </w:r>
      <w:r>
        <w:t>。</w:t>
      </w:r>
    </w:p>
    <w:p>
      <w:pPr>
        <w:jc w:val="center"/>
      </w:pPr>
      <w:r>
        <w:drawing>
          <wp:inline distT="0" distB="0" distL="114300" distR="114300">
            <wp:extent cx="2012315" cy="3538855"/>
            <wp:effectExtent l="0" t="0" r="19685" b="17145"/>
            <wp:docPr id="232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79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012315" cy="353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2.2.2</w:t>
      </w:r>
      <w:r>
        <w:rPr>
          <w:rFonts w:hint="eastAsia"/>
          <w:sz w:val="24"/>
          <w:szCs w:val="24"/>
          <w:lang w:val="en-US" w:eastAsia="zh-Hans"/>
        </w:rPr>
        <w:t>教育管理协议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点击“教育管理协议”，即可进入教育管理协议页面，阅读相关内容，可点击“我同意”，完成办理</w:t>
      </w:r>
      <w:r>
        <w:t>。</w:t>
      </w:r>
    </w:p>
    <w:p/>
    <w:p>
      <w:pPr>
        <w:jc w:val="center"/>
      </w:pPr>
      <w:r>
        <w:drawing>
          <wp:inline distT="0" distB="0" distL="114300" distR="114300">
            <wp:extent cx="1795145" cy="3149600"/>
            <wp:effectExtent l="0" t="0" r="8255" b="0"/>
            <wp:docPr id="16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0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795145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2.2.5</w:t>
      </w:r>
      <w:r>
        <w:rPr>
          <w:rFonts w:hint="eastAsia"/>
          <w:sz w:val="24"/>
          <w:szCs w:val="24"/>
          <w:lang w:val="en-US" w:eastAsia="zh-Hans"/>
        </w:rPr>
        <w:t>新生选房</w:t>
      </w:r>
    </w:p>
    <w:p>
      <w:pPr>
        <w:ind w:firstLine="420" w:firstLineChars="200"/>
      </w:pPr>
      <w:r>
        <w:rPr>
          <w:rFonts w:hint="eastAsia" w:ascii="宋体"/>
          <w:lang w:val="en-US" w:eastAsia="zh-Hans"/>
        </w:rPr>
        <w:t>第一步：点击“新生选房”进入选房页面，点击“我要选房”，即可显示可选房间，点击“选择”按钮；</w:t>
      </w:r>
    </w:p>
    <w:p>
      <w:pPr>
        <w:jc w:val="center"/>
      </w:pPr>
      <w:r>
        <w:drawing>
          <wp:inline distT="0" distB="0" distL="114300" distR="114300">
            <wp:extent cx="2113280" cy="3662680"/>
            <wp:effectExtent l="0" t="0" r="20320" b="20320"/>
            <wp:docPr id="179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27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113280" cy="366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718310" cy="3720465"/>
            <wp:effectExtent l="0" t="0" r="8890" b="13335"/>
            <wp:docPr id="2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718310" cy="372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第二步：点击“选择该宿舍”，点击“床位号”，点击“确定”按钮即可完成选房，或点击“随机分配”，系统自动分配床位。</w:t>
      </w:r>
    </w:p>
    <w:p>
      <w:pPr>
        <w:jc w:val="center"/>
      </w:pPr>
      <w:r>
        <w:drawing>
          <wp:inline distT="0" distB="0" distL="114300" distR="114300">
            <wp:extent cx="2056765" cy="3587750"/>
            <wp:effectExtent l="0" t="0" r="635" b="19050"/>
            <wp:docPr id="181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29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056765" cy="358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33905" cy="3596640"/>
            <wp:effectExtent l="0" t="0" r="23495" b="10160"/>
            <wp:docPr id="182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30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033905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797685" cy="3119120"/>
            <wp:effectExtent l="0" t="0" r="5715" b="5080"/>
            <wp:docPr id="183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31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797685" cy="311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2.2.3</w:t>
      </w:r>
      <w:r>
        <w:rPr>
          <w:rFonts w:hint="eastAsia"/>
          <w:sz w:val="24"/>
          <w:szCs w:val="24"/>
          <w:lang w:val="en-US" w:eastAsia="zh-Hans"/>
        </w:rPr>
        <w:t>信息采集</w:t>
      </w:r>
    </w:p>
    <w:p>
      <w:pPr>
        <w:spacing w:before="0" w:beforeAutospacing="0" w:after="0" w:afterAutospacing="0" w:line="360" w:lineRule="auto"/>
        <w:ind w:firstLine="420"/>
        <w:rPr>
          <w:rFonts w:hint="default"/>
          <w:lang w:val="en-US" w:eastAsia="zh-Hans"/>
        </w:rPr>
      </w:pPr>
      <w:r>
        <w:rPr>
          <w:rFonts w:hint="eastAsia"/>
          <w:lang w:val="en-US" w:eastAsia="zh-Hans"/>
        </w:rPr>
        <w:t>点击“信息采集”，进入信息采集页面，点击“修改信息”，填写相关采集信息，填写信息名称前有“</w:t>
      </w:r>
      <w:r>
        <w:rPr>
          <w:rFonts w:hint="default"/>
          <w:color w:val="FF0000"/>
          <w:lang w:eastAsia="zh-Hans"/>
        </w:rPr>
        <w:t>*</w:t>
      </w:r>
      <w:r>
        <w:rPr>
          <w:rFonts w:hint="eastAsia"/>
          <w:color w:val="000000" w:themeColor="text1"/>
          <w:lang w:eastAsia="zh-Hans"/>
        </w:rPr>
        <w:t>”</w:t>
      </w:r>
      <w:r>
        <w:rPr>
          <w:rFonts w:hint="eastAsia"/>
          <w:color w:val="000000" w:themeColor="text1"/>
          <w:lang w:val="en-US" w:eastAsia="zh-Hans"/>
        </w:rPr>
        <w:t>为必须填写信息，家庭成员和主要社会关系至少填写一位，教育经历从初中开始填写信息，请确保填写信息的准确性，点击“提交”，即可完成服务办理。</w:t>
      </w:r>
    </w:p>
    <w:p>
      <w:pPr>
        <w:spacing w:before="0" w:beforeAutospacing="0" w:after="0" w:afterAutospacing="0" w:line="360" w:lineRule="auto"/>
        <w:ind w:firstLine="420"/>
        <w:rPr>
          <w:rFonts w:hint="eastAsia"/>
        </w:rPr>
      </w:pPr>
      <w:r>
        <w:rPr>
          <w:rFonts w:hint="eastAsia"/>
          <w:lang w:val="en-US" w:eastAsia="zh-Hans"/>
        </w:rPr>
        <w:t>主要社会关系填写直系亲属之外的联系人。</w:t>
      </w:r>
    </w:p>
    <w:p>
      <w:r>
        <w:drawing>
          <wp:inline distT="0" distB="0" distL="114300" distR="114300">
            <wp:extent cx="1759585" cy="3010535"/>
            <wp:effectExtent l="0" t="0" r="18415" b="12065"/>
            <wp:docPr id="16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6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759585" cy="301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677035" cy="2912110"/>
            <wp:effectExtent l="0" t="0" r="24765" b="8890"/>
            <wp:docPr id="17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4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677035" cy="291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675765" cy="2934970"/>
            <wp:effectExtent l="0" t="0" r="635" b="11430"/>
            <wp:docPr id="17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5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675765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2.2.4</w:t>
      </w:r>
      <w:r>
        <w:rPr>
          <w:rFonts w:hint="eastAsia"/>
          <w:sz w:val="24"/>
          <w:szCs w:val="24"/>
          <w:lang w:val="en-US" w:eastAsia="zh-Hans"/>
        </w:rPr>
        <w:t>照片采集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点击“照片采集”，进入采集说明页面，点击“照片采集系统”，需要再次输入账号密码进行登录，进入人脸信息采集系统，采集完成之后，点击下方“已完成采集”按钮，完成服务办理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114300" distR="114300">
            <wp:extent cx="1234440" cy="2672715"/>
            <wp:effectExtent l="0" t="0" r="10160" b="19685"/>
            <wp:docPr id="2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2344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238885" cy="2680335"/>
            <wp:effectExtent l="0" t="0" r="5715" b="12065"/>
            <wp:docPr id="2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238885" cy="268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247140" cy="2709545"/>
            <wp:effectExtent l="0" t="0" r="22860" b="8255"/>
            <wp:docPr id="2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1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247140" cy="270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2.2.6</w:t>
      </w:r>
      <w:r>
        <w:rPr>
          <w:rFonts w:hint="eastAsia"/>
          <w:sz w:val="24"/>
          <w:szCs w:val="24"/>
          <w:lang w:val="en-US" w:eastAsia="zh-Hans"/>
        </w:rPr>
        <w:t>入学教育</w:t>
      </w:r>
    </w:p>
    <w:p>
      <w:pPr>
        <w:ind w:firstLine="420" w:firstLineChars="200"/>
      </w:pPr>
      <w:r>
        <w:rPr>
          <w:rFonts w:hint="eastAsia"/>
          <w:lang w:val="en-US" w:eastAsia="zh-Hans"/>
        </w:rPr>
        <w:t>点击“入学教育”，提示相关信息，进入答题页面，答题提交之后，答题结果页面，答题错误的提示会使用红色字体标识，正确的答案选项使用绿色字体标识，左下角可显示剩余答题次数，需要考试及格，即可完成服务办理。</w:t>
      </w:r>
    </w:p>
    <w:p>
      <w:pPr>
        <w:jc w:val="center"/>
      </w:pPr>
      <w:r>
        <w:drawing>
          <wp:inline distT="0" distB="0" distL="114300" distR="114300">
            <wp:extent cx="1899920" cy="3333750"/>
            <wp:effectExtent l="0" t="0" r="5080" b="19050"/>
            <wp:docPr id="190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39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89992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</w:rPr>
        <w:t xml:space="preserve">   </w:t>
      </w:r>
      <w:r>
        <w:drawing>
          <wp:inline distT="0" distB="0" distL="114300" distR="114300">
            <wp:extent cx="1910080" cy="3338195"/>
            <wp:effectExtent l="0" t="0" r="20320" b="14605"/>
            <wp:docPr id="191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40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910080" cy="333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2.2.7</w:t>
      </w:r>
      <w:r>
        <w:rPr>
          <w:rFonts w:hint="eastAsia"/>
          <w:sz w:val="24"/>
          <w:szCs w:val="24"/>
          <w:lang w:val="en-US" w:eastAsia="zh-Hans"/>
        </w:rPr>
        <w:t>学平险选择</w:t>
      </w:r>
    </w:p>
    <w:p>
      <w:pPr>
        <w:ind w:firstLine="420" w:firstLineChars="200"/>
        <w:rPr>
          <w:rFonts w:hint="default"/>
          <w:lang w:val="en-US" w:eastAsia="zh-Hans"/>
        </w:rPr>
      </w:pPr>
      <w:r>
        <w:rPr>
          <w:rFonts w:hint="default"/>
          <w:lang w:eastAsia="zh-Hans"/>
        </w:rPr>
        <w:t>1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购买学平险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点击“学平险选择”，进入学平险介绍页面，仔细阅读相关信息，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使用微信扫码，付款成功之后，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将付款成功页面进行上传，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点击“我已完成支付”，完成办理，</w:t>
      </w:r>
    </w:p>
    <w:p>
      <w:pPr>
        <w:ind w:firstLine="420" w:firstLineChars="200"/>
      </w:pPr>
      <w:r>
        <w:rPr>
          <w:rFonts w:hint="eastAsia"/>
          <w:lang w:val="en-US" w:eastAsia="zh-Hans"/>
        </w:rPr>
        <w:t>未上传成功付款截图，无法完成服务办理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114300" distR="114300">
            <wp:extent cx="1911985" cy="3315335"/>
            <wp:effectExtent l="0" t="0" r="18415" b="12065"/>
            <wp:docPr id="224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71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911985" cy="331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="525" w:leftChars="0"/>
        <w:rPr>
          <w:rFonts w:hint="eastAsia"/>
          <w:lang w:val="en-US" w:eastAsia="zh-Hans"/>
        </w:rPr>
      </w:pPr>
      <w:r>
        <w:rPr>
          <w:rFonts w:hint="default"/>
          <w:lang w:eastAsia="zh-Hans"/>
        </w:rPr>
        <w:t>2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放弃购买学平险选择</w:t>
      </w:r>
    </w:p>
    <w:p>
      <w:pPr>
        <w:numPr>
          <w:ilvl w:val="0"/>
          <w:numId w:val="0"/>
        </w:numPr>
        <w:ind w:left="525" w:leftChars="0" w:firstLine="420" w:firstLineChars="200"/>
        <w:rPr>
          <w:rFonts w:hint="default"/>
          <w:lang w:val="en-US" w:eastAsia="zh-Hans"/>
        </w:rPr>
      </w:pPr>
      <w:r>
        <w:rPr>
          <w:rFonts w:hint="eastAsia"/>
          <w:lang w:val="en-US" w:eastAsia="zh-Hans"/>
        </w:rPr>
        <w:t>第一步：点击“家长确认签名”，</w:t>
      </w:r>
    </w:p>
    <w:p>
      <w:pPr>
        <w:jc w:val="center"/>
      </w:pPr>
    </w:p>
    <w:p>
      <w:pPr>
        <w:jc w:val="center"/>
      </w:pPr>
      <w:r>
        <w:drawing>
          <wp:inline distT="0" distB="0" distL="114300" distR="114300">
            <wp:extent cx="1936750" cy="3058160"/>
            <wp:effectExtent l="0" t="0" r="19050" b="15240"/>
            <wp:docPr id="225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72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936750" cy="305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</w:pPr>
      <w:r>
        <w:rPr>
          <w:rFonts w:hint="eastAsia"/>
          <w:lang w:val="en-US" w:eastAsia="zh-Hans"/>
        </w:rPr>
        <w:t>第二步：阅读“自愿放弃购买学平险承诺书”，家长进行签名，请正楷签名，点击“确定”按钮完成签名；</w:t>
      </w:r>
    </w:p>
    <w:p>
      <w:pPr>
        <w:jc w:val="center"/>
      </w:pPr>
      <w:r>
        <w:drawing>
          <wp:inline distT="0" distB="0" distL="114300" distR="114300">
            <wp:extent cx="2096135" cy="3613785"/>
            <wp:effectExtent l="0" t="0" r="12065" b="18415"/>
            <wp:docPr id="200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47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096135" cy="361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第三步：点击“学生确认签名”，本人进行签名，请正楷签名，点击“确定”按钮完成签名，家长和本人均确认签名，则本服务完成办理</w:t>
      </w:r>
      <w:r>
        <w:rPr>
          <w:rFonts w:hint="eastAsia"/>
          <w:lang w:val="en-US" w:eastAsia="zh-CN"/>
        </w:rPr>
        <w:t>，已确认放弃购买，需要重新购买可点击“撤销放弃”，重新进行购买</w:t>
      </w:r>
      <w:r>
        <w:rPr>
          <w:rFonts w:hint="eastAsia"/>
          <w:lang w:val="en-US" w:eastAsia="zh-Hans"/>
        </w:rPr>
        <w:t>。</w:t>
      </w:r>
    </w:p>
    <w:p>
      <w:pPr>
        <w:jc w:val="center"/>
      </w:pPr>
      <w:r>
        <w:drawing>
          <wp:inline distT="0" distB="0" distL="114300" distR="114300">
            <wp:extent cx="2002790" cy="3453130"/>
            <wp:effectExtent l="0" t="0" r="3810" b="1270"/>
            <wp:docPr id="240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47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002790" cy="3453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2.2.8</w:t>
      </w:r>
      <w:r>
        <w:rPr>
          <w:rFonts w:hint="eastAsia"/>
          <w:sz w:val="24"/>
          <w:szCs w:val="24"/>
          <w:lang w:val="en-US" w:eastAsia="zh-Hans"/>
        </w:rPr>
        <w:t>到站登记</w:t>
      </w:r>
    </w:p>
    <w:p>
      <w:pPr>
        <w:spacing w:before="0" w:beforeAutospacing="0" w:after="0" w:afterAutospacing="0" w:line="360" w:lineRule="auto"/>
        <w:ind w:firstLine="630" w:firstLineChars="300"/>
        <w:rPr>
          <w:rFonts w:hint="default"/>
          <w:lang w:val="en-US" w:eastAsia="zh-Hans"/>
        </w:rPr>
      </w:pPr>
      <w:r>
        <w:rPr>
          <w:rFonts w:hint="default"/>
          <w:lang w:eastAsia="zh-Hans"/>
        </w:rPr>
        <w:t>1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到校登记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点击“到站登记”，</w:t>
      </w:r>
      <w:r>
        <w:rPr>
          <w:rFonts w:hint="eastAsia"/>
        </w:rPr>
        <w:t>填写自己的到站信息，包括到达站点、到达日期、到达时间、随行人数，</w:t>
      </w:r>
      <w:r>
        <w:rPr>
          <w:rFonts w:hint="eastAsia"/>
          <w:lang w:val="en-US" w:eastAsia="zh-Hans"/>
        </w:rPr>
        <w:t>便于学校根据到达情况合理安排车辆接送，</w:t>
      </w:r>
      <w:r>
        <w:rPr>
          <w:rFonts w:hint="eastAsia"/>
        </w:rPr>
        <w:t>根据填写到达站点，可查看站点到学校的</w:t>
      </w:r>
      <w:r>
        <w:rPr>
          <w:rFonts w:hint="eastAsia"/>
          <w:lang w:val="en-US" w:eastAsia="zh-Hans"/>
        </w:rPr>
        <w:t>路线</w:t>
      </w:r>
      <w:r>
        <w:t>。</w:t>
      </w:r>
    </w:p>
    <w:p>
      <w:pPr>
        <w:jc w:val="center"/>
      </w:pPr>
      <w:r>
        <w:drawing>
          <wp:inline distT="0" distB="0" distL="114300" distR="114300">
            <wp:extent cx="1842135" cy="3215005"/>
            <wp:effectExtent l="0" t="0" r="12065" b="10795"/>
            <wp:docPr id="205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49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842135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0" w:beforeAutospacing="0" w:after="0" w:afterAutospacing="0" w:line="360" w:lineRule="auto"/>
        <w:ind w:firstLine="840" w:firstLineChars="400"/>
        <w:rPr>
          <w:rFonts w:hint="default"/>
          <w:lang w:val="en-US" w:eastAsia="zh-Hans"/>
        </w:rPr>
      </w:pPr>
      <w:r>
        <w:rPr>
          <w:rFonts w:hint="default"/>
          <w:lang w:eastAsia="zh-Hans"/>
        </w:rPr>
        <w:t>2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无法到校登记</w:t>
      </w:r>
    </w:p>
    <w:p>
      <w:pPr>
        <w:spacing w:before="0" w:beforeAutospacing="0" w:after="0" w:afterAutospacing="0" w:line="360" w:lineRule="auto"/>
        <w:ind w:firstLine="840" w:firstLineChars="4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第一步：点击“登记”按钮，进入登录页面；</w:t>
      </w:r>
    </w:p>
    <w:p>
      <w:pPr>
        <w:spacing w:before="0" w:beforeAutospacing="0" w:after="0" w:afterAutospacing="0" w:line="360" w:lineRule="auto"/>
        <w:ind w:firstLine="840" w:firstLineChars="400"/>
        <w:jc w:val="center"/>
      </w:pPr>
      <w:r>
        <w:drawing>
          <wp:inline distT="0" distB="0" distL="114300" distR="114300">
            <wp:extent cx="1766570" cy="3101975"/>
            <wp:effectExtent l="0" t="0" r="11430" b="22225"/>
            <wp:docPr id="241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图片 8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766570" cy="310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0" w:beforeAutospacing="0" w:after="0" w:afterAutospacing="0" w:line="360" w:lineRule="auto"/>
        <w:ind w:firstLine="840" w:firstLineChars="400"/>
      </w:pPr>
      <w:r>
        <w:rPr>
          <w:rFonts w:hint="eastAsia"/>
          <w:lang w:val="en-US" w:eastAsia="zh-Hans"/>
        </w:rPr>
        <w:t>第二步：选择“无法报到原因”和“情况说明”，点击“提交”，完成登记。</w:t>
      </w:r>
    </w:p>
    <w:p>
      <w:pPr>
        <w:jc w:val="center"/>
      </w:pPr>
      <w:r>
        <w:drawing>
          <wp:inline distT="0" distB="0" distL="114300" distR="114300">
            <wp:extent cx="1974215" cy="3417570"/>
            <wp:effectExtent l="0" t="0" r="6985" b="11430"/>
            <wp:docPr id="206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50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974215" cy="341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2.2.9</w:t>
      </w:r>
      <w:r>
        <w:rPr>
          <w:rFonts w:hint="eastAsia"/>
          <w:sz w:val="24"/>
          <w:szCs w:val="24"/>
          <w:lang w:val="en-US" w:eastAsia="zh-Hans"/>
        </w:rPr>
        <w:t>绿色通道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点击“绿色通道”，进入绿色通道办理页面，可查询到总费用，应缴总额、已缴总额、未缴总额，点击“缓缴类型”，即可进入申请页面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114300" distR="114300">
            <wp:extent cx="2077720" cy="3543935"/>
            <wp:effectExtent l="0" t="0" r="5080" b="12065"/>
            <wp:docPr id="226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73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077720" cy="354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eastAsia="zh-Hans"/>
        </w:rPr>
      </w:pPr>
      <w:r>
        <w:rPr>
          <w:rFonts w:hint="default"/>
          <w:lang w:eastAsia="zh-Hans"/>
        </w:rPr>
        <w:t>1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已申请生源地贷款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国开</w:t>
      </w:r>
      <w:r>
        <w:rPr>
          <w:rFonts w:hint="default"/>
          <w:lang w:eastAsia="zh-Hans"/>
        </w:rPr>
        <w:t>)</w:t>
      </w:r>
    </w:p>
    <w:p>
      <w:pPr>
        <w:keepNext w:val="0"/>
        <w:keepLines w:val="0"/>
        <w:widowControl/>
        <w:suppressLineNumbers w:val="0"/>
        <w:ind w:firstLine="420" w:firstLineChars="200"/>
        <w:jc w:val="left"/>
      </w:pPr>
      <w:r>
        <w:rPr>
          <w:rFonts w:hint="eastAsia"/>
          <w:lang w:val="en-US" w:eastAsia="zh-Hans"/>
        </w:rPr>
        <w:t>选择“已申请生源地贷款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国开</w:t>
      </w:r>
      <w:r>
        <w:rPr>
          <w:rFonts w:hint="default"/>
          <w:lang w:eastAsia="zh-Hans"/>
        </w:rPr>
        <w:t>)</w:t>
      </w:r>
      <w:r>
        <w:rPr>
          <w:rFonts w:hint="eastAsia"/>
          <w:lang w:val="en-US" w:eastAsia="zh-Hans"/>
        </w:rPr>
        <w:t>”，选择“贷款银行类别”为“国家开放银行”，点击上传“证明材料”，证明材料为</w:t>
      </w:r>
      <w:r>
        <w:rPr>
          <w:rFonts w:hint="eastAsia"/>
          <w:lang w:val="en-US" w:eastAsia="zh-CN"/>
        </w:rPr>
        <w:t>国家开发银行</w:t>
      </w:r>
      <w:r>
        <w:rPr>
          <w:rFonts w:hint="eastAsia"/>
          <w:lang w:val="en-US" w:eastAsia="zh-Hans"/>
        </w:rPr>
        <w:t>回执单</w:t>
      </w:r>
      <w:r>
        <w:rPr>
          <w:rFonts w:hint="eastAsia"/>
          <w:lang w:val="en-US" w:eastAsia="zh-CN"/>
        </w:rPr>
        <w:t>，上传照片文字方向须朝上才可识别出回执验证码</w:t>
      </w:r>
      <w:r>
        <w:rPr>
          <w:rFonts w:hint="eastAsia"/>
          <w:lang w:val="en-US" w:eastAsia="zh-Hans"/>
        </w:rPr>
        <w:t>，避免无法自动识别出“贷款金额”和“回执验证码”，填写“缓缴金额”，填写“申请陈述”，点击“提交申请”即可完成。</w:t>
      </w:r>
    </w:p>
    <w:p>
      <w:pPr>
        <w:jc w:val="center"/>
      </w:pPr>
      <w:r>
        <w:drawing>
          <wp:inline distT="0" distB="0" distL="114300" distR="114300">
            <wp:extent cx="1905635" cy="3356610"/>
            <wp:effectExtent l="0" t="0" r="24765" b="21590"/>
            <wp:docPr id="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905635" cy="335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Hans"/>
        </w:rPr>
      </w:pPr>
      <w:r>
        <w:rPr>
          <w:rFonts w:hint="default"/>
          <w:lang w:eastAsia="zh-Hans"/>
        </w:rPr>
        <w:t>2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家庭经济困难学生学费缓交</w:t>
      </w:r>
    </w:p>
    <w:p>
      <w:pPr>
        <w:numPr>
          <w:ilvl w:val="0"/>
          <w:numId w:val="0"/>
        </w:numPr>
        <w:ind w:leftChars="0" w:firstLine="420" w:firstLineChars="200"/>
        <w:rPr>
          <w:rFonts w:hint="default"/>
          <w:lang w:val="en-US" w:eastAsia="zh-Hans"/>
        </w:rPr>
      </w:pPr>
      <w:r>
        <w:rPr>
          <w:rFonts w:hint="eastAsia"/>
          <w:lang w:val="en-US" w:eastAsia="zh-Hans"/>
        </w:rPr>
        <w:t>选择“家庭经济困难学生学费缓交”，填写“缓缴金额”、“承诺最后还款时间”、“申请陈述”，上传“申请书”，点击“提交申请”即可完成。</w:t>
      </w:r>
    </w:p>
    <w:p>
      <w:pPr>
        <w:jc w:val="center"/>
      </w:pPr>
      <w:r>
        <w:drawing>
          <wp:inline distT="0" distB="0" distL="114300" distR="114300">
            <wp:extent cx="2120265" cy="3620135"/>
            <wp:effectExtent l="0" t="0" r="13335" b="12065"/>
            <wp:docPr id="228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75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120265" cy="362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val="en-US" w:eastAsia="zh-Hans"/>
        </w:rPr>
      </w:pPr>
      <w:r>
        <w:rPr>
          <w:rFonts w:hint="default"/>
          <w:lang w:eastAsia="zh-Hans"/>
        </w:rPr>
        <w:t>3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已申请生源地贷款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非国开</w:t>
      </w:r>
      <w:r>
        <w:rPr>
          <w:rFonts w:hint="default"/>
          <w:lang w:eastAsia="zh-Hans"/>
        </w:rPr>
        <w:t>)</w:t>
      </w:r>
    </w:p>
    <w:p>
      <w:pPr>
        <w:ind w:firstLine="420" w:firstLineChars="200"/>
      </w:pPr>
      <w:r>
        <w:rPr>
          <w:rFonts w:hint="eastAsia"/>
          <w:lang w:val="en-US" w:eastAsia="zh-Hans"/>
        </w:rPr>
        <w:t>选择“已申请生源地贷款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非国开</w:t>
      </w:r>
      <w:r>
        <w:rPr>
          <w:rFonts w:hint="default"/>
          <w:lang w:eastAsia="zh-Hans"/>
        </w:rPr>
        <w:t>)</w:t>
      </w:r>
      <w:r>
        <w:rPr>
          <w:rFonts w:hint="eastAsia"/>
          <w:lang w:val="en-US" w:eastAsia="zh-Hans"/>
        </w:rPr>
        <w:t>”，填写“贷款金额”、“缓缴金额”、“贷款银行名称”、“申请陈述”，上传“办理贷款有效证明材料”，点击“提交申请”即可完成。</w:t>
      </w:r>
    </w:p>
    <w:p>
      <w:pPr>
        <w:jc w:val="center"/>
      </w:pPr>
      <w:r>
        <w:drawing>
          <wp:inline distT="0" distB="0" distL="114300" distR="114300">
            <wp:extent cx="2079625" cy="3522345"/>
            <wp:effectExtent l="0" t="0" r="3175" b="8255"/>
            <wp:docPr id="1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5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079625" cy="352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2.2.10</w:t>
      </w:r>
      <w:r>
        <w:rPr>
          <w:rFonts w:hint="eastAsia"/>
          <w:sz w:val="24"/>
          <w:szCs w:val="24"/>
          <w:lang w:val="en-US" w:eastAsia="zh-Hans"/>
        </w:rPr>
        <w:t>同班级同学查询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点击“同班级学生查询”，即可查询到本班学生信息，点击上方“别人可以看到我的联系方式”，同班同学即可查询到联系方式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114300" distR="114300">
            <wp:extent cx="1870075" cy="3196590"/>
            <wp:effectExtent l="0" t="0" r="9525" b="3810"/>
            <wp:docPr id="230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77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870075" cy="319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2.2.11</w:t>
      </w:r>
      <w:r>
        <w:rPr>
          <w:rFonts w:hint="eastAsia"/>
          <w:sz w:val="24"/>
          <w:szCs w:val="24"/>
          <w:lang w:val="en-US" w:eastAsia="zh-Hans"/>
        </w:rPr>
        <w:t>管理服务人员</w:t>
      </w:r>
    </w:p>
    <w:p>
      <w:pPr>
        <w:ind w:firstLine="420" w:firstLineChars="200"/>
      </w:pPr>
      <w:r>
        <w:rPr>
          <w:rFonts w:hint="eastAsia"/>
          <w:lang w:val="en-US" w:eastAsia="zh-Hans"/>
        </w:rPr>
        <w:t>点击“管理服务人员”，即可查询到“辅导员”、“班主任”、“养成教育辅导员”、“志愿者”的姓名和联系电话，志愿者信息需要选房成功之后才显示。</w:t>
      </w:r>
    </w:p>
    <w:p>
      <w:pPr>
        <w:jc w:val="center"/>
      </w:pPr>
      <w:r>
        <w:drawing>
          <wp:inline distT="0" distB="0" distL="114300" distR="114300">
            <wp:extent cx="1871345" cy="3171825"/>
            <wp:effectExtent l="0" t="0" r="8255" b="3175"/>
            <wp:docPr id="213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60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87134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/>
          <w:sz w:val="24"/>
          <w:szCs w:val="24"/>
          <w:lang w:val="en-US" w:eastAsia="zh-Hans"/>
        </w:rPr>
      </w:pPr>
      <w:r>
        <w:rPr>
          <w:rFonts w:hint="default"/>
          <w:sz w:val="24"/>
          <w:szCs w:val="24"/>
          <w:lang w:eastAsia="zh-Hans"/>
        </w:rPr>
        <w:t>2.2.12</w:t>
      </w:r>
      <w:r>
        <w:rPr>
          <w:rFonts w:hint="eastAsia"/>
          <w:sz w:val="24"/>
          <w:szCs w:val="24"/>
          <w:lang w:val="en-US" w:eastAsia="zh-Hans"/>
        </w:rPr>
        <w:t>迎新导航</w:t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点击“迎新导航”，即可显示宿舍楼栋信息，点击宿舍楼栋，即可显示导航地图，点击“开始导航”，即可打开地图进行导航，企业微信默认打开为“腾讯地图”。</w:t>
      </w:r>
    </w:p>
    <w:p>
      <w:pPr>
        <w:jc w:val="center"/>
      </w:pPr>
      <w:r>
        <w:drawing>
          <wp:inline distT="0" distB="0" distL="114300" distR="114300">
            <wp:extent cx="1649095" cy="3430905"/>
            <wp:effectExtent l="0" t="0" r="1905" b="23495"/>
            <wp:docPr id="1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649095" cy="343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</w:rPr>
        <w:t xml:space="preserve">   </w:t>
      </w:r>
      <w:r>
        <w:drawing>
          <wp:inline distT="0" distB="0" distL="114300" distR="114300">
            <wp:extent cx="1647190" cy="3421380"/>
            <wp:effectExtent l="0" t="0" r="3810" b="7620"/>
            <wp:docPr id="1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4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647190" cy="342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2.2.13</w:t>
      </w:r>
      <w:r>
        <w:rPr>
          <w:rFonts w:hint="eastAsia"/>
          <w:sz w:val="24"/>
          <w:szCs w:val="24"/>
          <w:lang w:val="en-US" w:eastAsia="zh-Hans"/>
        </w:rPr>
        <w:t>财务缴费</w:t>
      </w:r>
    </w:p>
    <w:p>
      <w:pPr>
        <w:ind w:firstLine="840" w:firstLineChars="400"/>
        <w:jc w:val="both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第一步：点击“财务缴费”，即可查询到缴费信息的明细和合计，</w:t>
      </w:r>
    </w:p>
    <w:p>
      <w:pPr>
        <w:ind w:firstLine="420" w:firstLineChars="200"/>
        <w:jc w:val="both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完成所有缴费即可完成服务办理，</w:t>
      </w:r>
    </w:p>
    <w:p>
      <w:pPr>
        <w:ind w:firstLine="420" w:firstLineChars="200"/>
        <w:jc w:val="both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绿色通道申请审核通过之后，贷款金额和缓交金额等于应缴金额，服务办理完成，</w:t>
      </w:r>
    </w:p>
    <w:p>
      <w:pPr>
        <w:ind w:firstLine="420" w:firstLineChars="200"/>
        <w:jc w:val="both"/>
      </w:pPr>
      <w:r>
        <w:rPr>
          <w:rFonts w:hint="eastAsia"/>
          <w:lang w:val="en-US" w:eastAsia="zh-Hans"/>
        </w:rPr>
        <w:t>点击“前往缴费”；</w:t>
      </w:r>
    </w:p>
    <w:p>
      <w:pPr>
        <w:jc w:val="center"/>
      </w:pPr>
      <w:r>
        <w:drawing>
          <wp:inline distT="0" distB="0" distL="114300" distR="114300">
            <wp:extent cx="1602740" cy="2794635"/>
            <wp:effectExtent l="0" t="0" r="22860" b="24765"/>
            <wp:docPr id="216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61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602740" cy="279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jc w:val="both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第二步：进入缴费须知页面，可按提示完成缴费，缴费完成之后，再进入“财务缴费”中，查询缴费情况。</w:t>
      </w:r>
    </w:p>
    <w:p>
      <w:pPr>
        <w:jc w:val="center"/>
      </w:pPr>
      <w:r>
        <w:drawing>
          <wp:inline distT="0" distB="0" distL="114300" distR="114300">
            <wp:extent cx="1944370" cy="3375025"/>
            <wp:effectExtent l="0" t="0" r="11430" b="3175"/>
            <wp:docPr id="217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62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337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2.2.14</w:t>
      </w:r>
      <w:r>
        <w:rPr>
          <w:rFonts w:hint="eastAsia"/>
          <w:sz w:val="24"/>
          <w:szCs w:val="24"/>
          <w:lang w:val="en-US" w:eastAsia="zh-Hans"/>
        </w:rPr>
        <w:t>新生自拍打卡</w:t>
      </w:r>
    </w:p>
    <w:p>
      <w:pPr>
        <w:jc w:val="both"/>
        <w:rPr>
          <w:rFonts w:hint="default" w:eastAsiaTheme="minorEastAsia"/>
          <w:lang w:val="en-US" w:eastAsia="zh-Hans"/>
        </w:rPr>
      </w:pPr>
      <w:r>
        <w:rPr>
          <w:rFonts w:hint="default"/>
        </w:rPr>
        <w:t xml:space="preserve">    </w:t>
      </w:r>
      <w:r>
        <w:rPr>
          <w:rFonts w:hint="eastAsia"/>
          <w:lang w:val="en-US" w:eastAsia="zh-Hans"/>
        </w:rPr>
        <w:t>点击“新生自拍打卡”，点击“照片”，即可选择“拍照”和“从相册选择”，需要进入学校设定范围才可进行“提交”，请来校之后在学校内使用此服务，此服务使用有定位要求。</w:t>
      </w:r>
    </w:p>
    <w:p>
      <w:pPr>
        <w:jc w:val="center"/>
      </w:pPr>
      <w:r>
        <w:drawing>
          <wp:inline distT="0" distB="0" distL="114300" distR="114300">
            <wp:extent cx="1886585" cy="3296920"/>
            <wp:effectExtent l="0" t="0" r="18415" b="5080"/>
            <wp:docPr id="218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65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886585" cy="329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</w:rPr>
        <w:t xml:space="preserve">    </w:t>
      </w:r>
      <w:r>
        <w:drawing>
          <wp:inline distT="0" distB="0" distL="114300" distR="114300">
            <wp:extent cx="1893570" cy="3246755"/>
            <wp:effectExtent l="0" t="0" r="11430" b="4445"/>
            <wp:docPr id="219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66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893570" cy="324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default"/>
          <w:sz w:val="24"/>
          <w:szCs w:val="24"/>
          <w:lang w:val="en-US"/>
        </w:rPr>
      </w:pPr>
      <w:r>
        <w:rPr>
          <w:rFonts w:hint="default"/>
          <w:sz w:val="24"/>
          <w:szCs w:val="24"/>
          <w:lang w:eastAsia="zh-Hans"/>
        </w:rPr>
        <w:t>2.2.15</w:t>
      </w:r>
      <w:r>
        <w:rPr>
          <w:rFonts w:hint="eastAsia"/>
          <w:sz w:val="24"/>
          <w:szCs w:val="24"/>
          <w:lang w:val="en-US" w:eastAsia="zh-Hans"/>
        </w:rPr>
        <w:t>人脸识别</w:t>
      </w:r>
    </w:p>
    <w:p>
      <w:pPr>
        <w:ind w:firstLine="420" w:firstLineChars="200"/>
        <w:jc w:val="both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第一步：点击“人脸识别”，进行人脸识别页面，“点击进行人脸识别”，请来校之后在学校内使用此服务，此服务使用有定位要求；</w:t>
      </w:r>
    </w:p>
    <w:p>
      <w:pPr>
        <w:jc w:val="center"/>
        <w:rPr>
          <w:rFonts w:hint="default"/>
        </w:rPr>
      </w:pPr>
      <w:r>
        <w:drawing>
          <wp:inline distT="0" distB="0" distL="114300" distR="114300">
            <wp:extent cx="1353185" cy="2929255"/>
            <wp:effectExtent l="0" t="0" r="18415" b="17145"/>
            <wp:docPr id="2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353185" cy="292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</w:rPr>
        <w:t xml:space="preserve">  </w:t>
      </w:r>
    </w:p>
    <w:p>
      <w:pPr>
        <w:ind w:firstLine="420" w:firstLineChars="200"/>
        <w:jc w:val="left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第二步：上传身份证“国徽面”和“头像面”照片，点击“下一步”；</w:t>
      </w:r>
    </w:p>
    <w:p>
      <w:pPr>
        <w:jc w:val="center"/>
      </w:pPr>
      <w:r>
        <w:drawing>
          <wp:inline distT="0" distB="0" distL="114300" distR="114300">
            <wp:extent cx="1772920" cy="3909060"/>
            <wp:effectExtent l="0" t="0" r="5080" b="254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772920" cy="390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jc w:val="left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第三步：进入确认页面，点击“确定”按钮；</w:t>
      </w:r>
    </w:p>
    <w:p>
      <w:pPr>
        <w:jc w:val="center"/>
      </w:pPr>
      <w:r>
        <w:drawing>
          <wp:inline distT="0" distB="0" distL="114300" distR="114300">
            <wp:extent cx="1845945" cy="4079240"/>
            <wp:effectExtent l="0" t="0" r="8255" b="10160"/>
            <wp:docPr id="1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1845945" cy="407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jc w:val="both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第四步：进入实名认证页面，勾选“阅读并同意《实名认证用户隐私协议》”，点击“开始身份认证”；</w:t>
      </w:r>
    </w:p>
    <w:p>
      <w:pPr>
        <w:jc w:val="center"/>
      </w:pPr>
      <w:r>
        <w:drawing>
          <wp:inline distT="0" distB="0" distL="114300" distR="114300">
            <wp:extent cx="1780540" cy="3918585"/>
            <wp:effectExtent l="0" t="0" r="22860" b="1841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1780540" cy="391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jc w:val="both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第五步：进入人脸验证页面，按照文字提示进行验证；</w:t>
      </w:r>
    </w:p>
    <w:p>
      <w:pPr>
        <w:jc w:val="center"/>
      </w:pPr>
      <w:r>
        <w:drawing>
          <wp:inline distT="0" distB="0" distL="114300" distR="114300">
            <wp:extent cx="1620520" cy="3472180"/>
            <wp:effectExtent l="0" t="0" r="5080" b="7620"/>
            <wp:docPr id="3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4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1620520" cy="347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jc w:val="both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第六步：人脸核验通过之后进入“验证结果”页面，点击“完成身份认证”，如果核验不通过，来校之后请找招生办进行现场核验；</w:t>
      </w:r>
    </w:p>
    <w:p>
      <w:pPr>
        <w:jc w:val="center"/>
      </w:pPr>
      <w:r>
        <w:drawing>
          <wp:inline distT="0" distB="0" distL="114300" distR="114300">
            <wp:extent cx="1779905" cy="3918585"/>
            <wp:effectExtent l="0" t="0" r="23495" b="1841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1779905" cy="391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default" w:eastAsiaTheme="minorEastAsia"/>
          <w:lang w:eastAsia="zh-Hans"/>
        </w:rPr>
      </w:pPr>
      <w:r>
        <w:rPr>
          <w:rFonts w:hint="eastAsia"/>
          <w:lang w:val="en-US" w:eastAsia="zh-Hans"/>
        </w:rPr>
        <w:t>第七步：进入扫脸结果页面，点击“完成”，即可完成认证核验。</w:t>
      </w:r>
    </w:p>
    <w:p>
      <w:pPr>
        <w:jc w:val="center"/>
      </w:pPr>
      <w:r>
        <w:drawing>
          <wp:inline distT="0" distB="0" distL="114300" distR="114300">
            <wp:extent cx="2042795" cy="4324985"/>
            <wp:effectExtent l="0" t="0" r="14605" b="18415"/>
            <wp:docPr id="3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6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042795" cy="432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2.2.16</w:t>
      </w:r>
      <w:r>
        <w:rPr>
          <w:rFonts w:hint="eastAsia"/>
          <w:sz w:val="24"/>
          <w:szCs w:val="24"/>
          <w:lang w:val="en-US" w:eastAsia="zh-Hans"/>
        </w:rPr>
        <w:t>到校确认</w:t>
      </w:r>
    </w:p>
    <w:p>
      <w:pPr>
        <w:jc w:val="both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点击右上角“二维码”，由志愿者扫码完成到校确认。</w:t>
      </w:r>
    </w:p>
    <w:p>
      <w:pPr>
        <w:jc w:val="center"/>
      </w:pPr>
      <w:r>
        <w:drawing>
          <wp:inline distT="0" distB="0" distL="114300" distR="114300">
            <wp:extent cx="2875280" cy="2802255"/>
            <wp:effectExtent l="0" t="0" r="20320" b="17145"/>
            <wp:docPr id="222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69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875280" cy="280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djustRightInd w:val="0"/>
        <w:snapToGrid w:val="0"/>
        <w:spacing w:line="360" w:lineRule="auto"/>
        <w:jc w:val="both"/>
        <w:outlineLvl w:val="9"/>
        <w:rPr>
          <w:rFonts w:hint="eastAsia"/>
          <w:lang w:val="en-US" w:eastAsia="zh-CN"/>
        </w:rPr>
      </w:pPr>
    </w:p>
    <w:p>
      <w:pPr>
        <w:adjustRightInd w:val="0"/>
        <w:snapToGrid w:val="0"/>
        <w:spacing w:line="360" w:lineRule="auto"/>
        <w:jc w:val="both"/>
        <w:outlineLvl w:val="9"/>
        <w:rPr>
          <w:rFonts w:hint="eastAsia"/>
          <w:lang w:val="en-US" w:eastAsia="zh-CN"/>
        </w:rPr>
      </w:pPr>
    </w:p>
    <w:p>
      <w:pPr>
        <w:wordWrap w:val="0"/>
        <w:adjustRightInd w:val="0"/>
        <w:snapToGrid w:val="0"/>
        <w:spacing w:line="360" w:lineRule="auto"/>
        <w:jc w:val="right"/>
        <w:outlineLvl w:val="1"/>
        <w:rPr>
          <w:rFonts w:hint="default" w:eastAsiaTheme="minorEastAsia"/>
          <w:lang w:eastAsia="zh-Hans"/>
        </w:rPr>
      </w:pPr>
      <w:bookmarkStart w:id="27" w:name="_Toc1563829733"/>
      <w:r>
        <w:rPr>
          <w:rFonts w:hint="default"/>
          <w:lang w:eastAsia="zh-Hans"/>
        </w:rPr>
        <w:t>---</w:t>
      </w:r>
      <w:r>
        <w:rPr>
          <w:rFonts w:hint="eastAsia"/>
          <w:lang w:val="en-US" w:eastAsia="zh-Hans"/>
        </w:rPr>
        <w:t>文档完毕</w:t>
      </w:r>
      <w:r>
        <w:rPr>
          <w:rFonts w:hint="default"/>
          <w:lang w:eastAsia="zh-Hans"/>
        </w:rPr>
        <w:t>---</w:t>
      </w:r>
      <w:bookmarkEnd w:id="27"/>
      <w:r>
        <w:rPr>
          <w:rFonts w:hint="default"/>
          <w:lang w:eastAsia="zh-Hans"/>
        </w:rPr>
        <w:t xml:space="preserve">     </w:t>
      </w:r>
    </w:p>
    <w:sectPr>
      <w:headerReference r:id="rId5" w:type="first"/>
      <w:footerReference r:id="rId8" w:type="first"/>
      <w:headerReference r:id="rId3" w:type="default"/>
      <w:footerReference r:id="rId6" w:type="default"/>
      <w:headerReference r:id="rId4" w:type="even"/>
      <w:footerReference r:id="rId7" w:type="even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Tahoma">
    <w:panose1 w:val="020B0804030504040204"/>
    <w:charset w:val="00"/>
    <w:family w:val="auto"/>
    <w:pitch w:val="default"/>
    <w:sig w:usb0="E1002A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</w:pPr>
    <w:r>
      <w:pict>
        <v:shape id="文本框 27" o:spid="_x0000_s4097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>
          <v:path/>
          <v:fill on="f" focussize="0,0"/>
          <v:stroke on="f" joinstyle="miter"/>
          <v:imagedata o:title=""/>
          <o:lock v:ext="edit"/>
          <v:textbox inset="0mm,0mm,0mm,0mm" style="mso-fit-shape-to-text:t;">
            <w:txbxContent>
              <w:p>
                <w:pPr>
                  <w:snapToGrid w:val="0"/>
                  <w:rPr>
                    <w:rFonts w:eastAsia="宋体"/>
                    <w:sz w:val="18"/>
                  </w:rPr>
                </w:pPr>
                <w:r>
                  <w:rPr>
                    <w:rFonts w:hint="eastAsia"/>
                    <w:sz w:val="18"/>
                  </w:rPr>
                  <w:fldChar w:fldCharType="begin"/>
                </w:r>
                <w:r>
                  <w:rPr>
                    <w:rFonts w:hint="eastAsia"/>
                    <w:sz w:val="18"/>
                  </w:rPr>
                  <w:instrText xml:space="preserve"> PAGE  \* MERGEFORMAT </w:instrText>
                </w:r>
                <w:r>
                  <w:rPr>
                    <w:rFonts w:hint="eastAsia"/>
                    <w:sz w:val="18"/>
                  </w:rPr>
                  <w:fldChar w:fldCharType="separate"/>
                </w:r>
                <w:r>
                  <w:rPr>
                    <w:sz w:val="18"/>
                  </w:rPr>
                  <w:t>6</w:t>
                </w:r>
                <w:r>
                  <w:rPr>
                    <w:rFonts w:hint="eastAsia"/>
                    <w:sz w:val="18"/>
                  </w:rPr>
                  <w:fldChar w:fldCharType="end"/>
                </w:r>
              </w:p>
            </w:txbxContent>
          </v:textbox>
        </v:shape>
      </w:pic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ind w:firstLine="360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ind w:firstLine="42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9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9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6FD1851"/>
    <w:multiLevelType w:val="singleLevel"/>
    <w:tmpl w:val="A6FD1851"/>
    <w:lvl w:ilvl="0" w:tentative="0">
      <w:start w:val="2"/>
      <w:numFmt w:val="decimal"/>
      <w:suff w:val="nothing"/>
      <w:lvlText w:val="%1、"/>
      <w:lvlJc w:val="left"/>
      <w:pPr>
        <w:ind w:left="525" w:leftChars="0" w:firstLine="0" w:firstLineChars="0"/>
      </w:pPr>
    </w:lvl>
  </w:abstractNum>
  <w:abstractNum w:abstractNumId="1">
    <w:nsid w:val="B3760957"/>
    <w:multiLevelType w:val="singleLevel"/>
    <w:tmpl w:val="B3760957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doNotDisplayPageBoundaries w:val="1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hdrShapeDefaults>
    <o:shapelayout v:ext="edit">
      <o:idmap v:ext="edit" data="3,4"/>
    </o:shapelayout>
  </w:hdrShapeDefaults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MjdjN2Q2N2NjNDlkZDQ1NGY3NDA1OTUzMzM0MTA2ODUifQ=="/>
  </w:docVars>
  <w:rsids>
    <w:rsidRoot w:val="0049220B"/>
    <w:rsid w:val="001205A9"/>
    <w:rsid w:val="0014177A"/>
    <w:rsid w:val="00161C2D"/>
    <w:rsid w:val="00243F30"/>
    <w:rsid w:val="002C6303"/>
    <w:rsid w:val="002D7999"/>
    <w:rsid w:val="003B103D"/>
    <w:rsid w:val="0049220B"/>
    <w:rsid w:val="005971A9"/>
    <w:rsid w:val="005C2E9A"/>
    <w:rsid w:val="005D03B2"/>
    <w:rsid w:val="0069004B"/>
    <w:rsid w:val="00700D20"/>
    <w:rsid w:val="00720AD7"/>
    <w:rsid w:val="00752265"/>
    <w:rsid w:val="00841347"/>
    <w:rsid w:val="009668AE"/>
    <w:rsid w:val="00A50E2E"/>
    <w:rsid w:val="00A5777D"/>
    <w:rsid w:val="00A6102A"/>
    <w:rsid w:val="00AA3CE0"/>
    <w:rsid w:val="00BB608D"/>
    <w:rsid w:val="00DB04F3"/>
    <w:rsid w:val="00FB3D07"/>
    <w:rsid w:val="00FD5827"/>
    <w:rsid w:val="06153565"/>
    <w:rsid w:val="06F5308F"/>
    <w:rsid w:val="0B11682A"/>
    <w:rsid w:val="0B3A52B6"/>
    <w:rsid w:val="0BE15C6B"/>
    <w:rsid w:val="12B47007"/>
    <w:rsid w:val="17E3550E"/>
    <w:rsid w:val="1D9A3387"/>
    <w:rsid w:val="225E2297"/>
    <w:rsid w:val="237B2DAA"/>
    <w:rsid w:val="269E3659"/>
    <w:rsid w:val="26AA2154"/>
    <w:rsid w:val="27051FF2"/>
    <w:rsid w:val="28761C43"/>
    <w:rsid w:val="2CDBB03F"/>
    <w:rsid w:val="2FBE2A02"/>
    <w:rsid w:val="2FD338FC"/>
    <w:rsid w:val="30A42BA1"/>
    <w:rsid w:val="326C2EB2"/>
    <w:rsid w:val="35711D79"/>
    <w:rsid w:val="367F6FE1"/>
    <w:rsid w:val="3B806F73"/>
    <w:rsid w:val="3D323A36"/>
    <w:rsid w:val="3D584C0B"/>
    <w:rsid w:val="3DE9D703"/>
    <w:rsid w:val="3E056E30"/>
    <w:rsid w:val="3FFBBA9F"/>
    <w:rsid w:val="44F7014F"/>
    <w:rsid w:val="489176EE"/>
    <w:rsid w:val="4CDE53C4"/>
    <w:rsid w:val="4E0B057D"/>
    <w:rsid w:val="4E621A54"/>
    <w:rsid w:val="4FF83FF1"/>
    <w:rsid w:val="4FFC71A0"/>
    <w:rsid w:val="517F5B7B"/>
    <w:rsid w:val="54AE67C0"/>
    <w:rsid w:val="554764CF"/>
    <w:rsid w:val="55A1413F"/>
    <w:rsid w:val="55E9568A"/>
    <w:rsid w:val="566327FA"/>
    <w:rsid w:val="57E514DF"/>
    <w:rsid w:val="58E97957"/>
    <w:rsid w:val="5B8213DC"/>
    <w:rsid w:val="5DAF46DC"/>
    <w:rsid w:val="5DF04296"/>
    <w:rsid w:val="5E56E0F1"/>
    <w:rsid w:val="5ECA3D86"/>
    <w:rsid w:val="5FFB13F1"/>
    <w:rsid w:val="6BE769F8"/>
    <w:rsid w:val="6BF37F42"/>
    <w:rsid w:val="6D834B52"/>
    <w:rsid w:val="6DB7E0CF"/>
    <w:rsid w:val="6FBCD963"/>
    <w:rsid w:val="71DFCDA2"/>
    <w:rsid w:val="777754EB"/>
    <w:rsid w:val="779C0BBC"/>
    <w:rsid w:val="77FF6A32"/>
    <w:rsid w:val="78436C2C"/>
    <w:rsid w:val="79CB512B"/>
    <w:rsid w:val="79EB22A1"/>
    <w:rsid w:val="7AB6117B"/>
    <w:rsid w:val="7B9A55AB"/>
    <w:rsid w:val="7BEF4606"/>
    <w:rsid w:val="7C7E6484"/>
    <w:rsid w:val="7CB6EE42"/>
    <w:rsid w:val="7DDE65E0"/>
    <w:rsid w:val="7EBFADA0"/>
    <w:rsid w:val="7EFE846A"/>
    <w:rsid w:val="7FBFAB39"/>
    <w:rsid w:val="7FF31E23"/>
    <w:rsid w:val="82FE72D7"/>
    <w:rsid w:val="8FF6B4D3"/>
    <w:rsid w:val="AAF3A68D"/>
    <w:rsid w:val="AB7FE252"/>
    <w:rsid w:val="ADFE5107"/>
    <w:rsid w:val="CF7326EA"/>
    <w:rsid w:val="CFF15BDC"/>
    <w:rsid w:val="CFFF0064"/>
    <w:rsid w:val="D4FFB501"/>
    <w:rsid w:val="D7FF58D0"/>
    <w:rsid w:val="DDF9BFCA"/>
    <w:rsid w:val="DF0B2BB1"/>
    <w:rsid w:val="DF75D369"/>
    <w:rsid w:val="EE650315"/>
    <w:rsid w:val="EFBEA857"/>
    <w:rsid w:val="EFBF1B13"/>
    <w:rsid w:val="EFD9B88F"/>
    <w:rsid w:val="EFDA37DA"/>
    <w:rsid w:val="EFFF94FE"/>
    <w:rsid w:val="F17E038E"/>
    <w:rsid w:val="F3571A74"/>
    <w:rsid w:val="F36FEEBC"/>
    <w:rsid w:val="F63E14C1"/>
    <w:rsid w:val="F7F7A787"/>
    <w:rsid w:val="FBDBEB87"/>
    <w:rsid w:val="FCDB4624"/>
    <w:rsid w:val="FD3F2903"/>
    <w:rsid w:val="FDDA319F"/>
    <w:rsid w:val="FDE7F8E2"/>
    <w:rsid w:val="FEB5E23F"/>
    <w:rsid w:val="FF7B8301"/>
    <w:rsid w:val="FFEAF1B9"/>
    <w:rsid w:val="FFEF99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nhideWhenUsed="0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semiHidden="0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qFormat="1" w:uiPriority="99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adjustRightInd w:val="0"/>
      <w:snapToGrid w:val="0"/>
      <w:spacing w:line="360" w:lineRule="auto"/>
      <w:outlineLvl w:val="0"/>
    </w:pPr>
    <w:rPr>
      <w:rFonts w:ascii="宋体" w:hAnsi="宋体" w:cs="Courier New"/>
      <w:b/>
      <w:bCs/>
      <w:color w:val="000080"/>
      <w:kern w:val="44"/>
      <w:szCs w:val="44"/>
    </w:rPr>
  </w:style>
  <w:style w:type="paragraph" w:styleId="3">
    <w:name w:val="heading 2"/>
    <w:basedOn w:val="1"/>
    <w:next w:val="1"/>
    <w:unhideWhenUsed/>
    <w:qFormat/>
    <w:uiPriority w:val="9"/>
    <w:pPr>
      <w:keepNext/>
      <w:keepLines/>
      <w:spacing w:before="20" w:beforeLines="0" w:beforeAutospacing="0" w:after="20" w:afterLines="0" w:afterAutospacing="0" w:line="240" w:lineRule="auto"/>
      <w:jc w:val="center"/>
      <w:outlineLvl w:val="1"/>
    </w:pPr>
    <w:rPr>
      <w:rFonts w:ascii="Arial" w:hAnsi="Arial" w:eastAsia="黑体"/>
      <w:b/>
      <w:sz w:val="32"/>
    </w:rPr>
  </w:style>
  <w:style w:type="paragraph" w:styleId="4">
    <w:name w:val="heading 3"/>
    <w:basedOn w:val="2"/>
    <w:next w:val="1"/>
    <w:unhideWhenUsed/>
    <w:qFormat/>
    <w:uiPriority w:val="9"/>
    <w:pPr>
      <w:keepNext/>
      <w:keepLines/>
      <w:spacing w:before="20" w:beforeLines="0" w:beforeAutospacing="0" w:after="20" w:afterLines="0" w:afterAutospacing="0" w:line="360" w:lineRule="auto"/>
      <w:outlineLvl w:val="2"/>
    </w:pPr>
    <w:rPr>
      <w:rFonts w:asciiTheme="minorAscii" w:hAnsiTheme="minorAscii"/>
      <w:sz w:val="24"/>
    </w:rPr>
  </w:style>
  <w:style w:type="paragraph" w:styleId="5">
    <w:name w:val="heading 4"/>
    <w:basedOn w:val="1"/>
    <w:next w:val="1"/>
    <w:unhideWhenUsed/>
    <w:qFormat/>
    <w:uiPriority w:val="9"/>
    <w:pPr>
      <w:keepNext/>
      <w:keepLines/>
      <w:spacing w:before="280" w:beforeLines="0" w:beforeAutospacing="0" w:after="290" w:afterLines="0" w:afterAutospacing="0" w:line="372" w:lineRule="auto"/>
      <w:outlineLvl w:val="3"/>
    </w:pPr>
    <w:rPr>
      <w:rFonts w:ascii="Arial" w:hAnsi="Arial" w:eastAsia="黑体"/>
      <w:b/>
      <w:sz w:val="28"/>
    </w:rPr>
  </w:style>
  <w:style w:type="character" w:default="1" w:styleId="11">
    <w:name w:val="Default Paragraph Font"/>
    <w:unhideWhenUsed/>
    <w:qFormat/>
    <w:uiPriority w:val="1"/>
  </w:style>
  <w:style w:type="table" w:default="1" w:styleId="10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Date"/>
    <w:basedOn w:val="1"/>
    <w:next w:val="1"/>
    <w:link w:val="15"/>
    <w:unhideWhenUsed/>
    <w:qFormat/>
    <w:uiPriority w:val="99"/>
    <w:pPr>
      <w:ind w:left="100" w:leftChars="2500"/>
    </w:pPr>
  </w:style>
  <w:style w:type="paragraph" w:styleId="7">
    <w:name w:val="Balloon Text"/>
    <w:basedOn w:val="1"/>
    <w:link w:val="19"/>
    <w:unhideWhenUsed/>
    <w:qFormat/>
    <w:uiPriority w:val="99"/>
    <w:rPr>
      <w:sz w:val="18"/>
      <w:szCs w:val="18"/>
    </w:rPr>
  </w:style>
  <w:style w:type="paragraph" w:styleId="8">
    <w:name w:val="footer"/>
    <w:basedOn w:val="1"/>
    <w:link w:val="17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9">
    <w:name w:val="header"/>
    <w:basedOn w:val="1"/>
    <w:link w:val="16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12">
    <w:name w:val="FollowedHyperlink"/>
    <w:basedOn w:val="11"/>
    <w:unhideWhenUsed/>
    <w:qFormat/>
    <w:uiPriority w:val="99"/>
    <w:rPr>
      <w:color w:val="800080"/>
      <w:u w:val="single"/>
    </w:rPr>
  </w:style>
  <w:style w:type="character" w:styleId="13">
    <w:name w:val="Hyperlink"/>
    <w:unhideWhenUsed/>
    <w:qFormat/>
    <w:uiPriority w:val="99"/>
    <w:rPr>
      <w:color w:val="0000FF"/>
      <w:u w:val="single"/>
    </w:rPr>
  </w:style>
  <w:style w:type="paragraph" w:customStyle="1" w:styleId="14">
    <w:name w:val="List Paragraph"/>
    <w:basedOn w:val="1"/>
    <w:qFormat/>
    <w:uiPriority w:val="34"/>
    <w:pPr>
      <w:ind w:firstLine="420" w:firstLineChars="200"/>
    </w:pPr>
  </w:style>
  <w:style w:type="character" w:customStyle="1" w:styleId="15">
    <w:name w:val="日期 Char"/>
    <w:basedOn w:val="11"/>
    <w:link w:val="6"/>
    <w:semiHidden/>
    <w:qFormat/>
    <w:uiPriority w:val="99"/>
  </w:style>
  <w:style w:type="character" w:customStyle="1" w:styleId="16">
    <w:name w:val="页眉 Char"/>
    <w:basedOn w:val="11"/>
    <w:link w:val="9"/>
    <w:semiHidden/>
    <w:qFormat/>
    <w:uiPriority w:val="99"/>
    <w:rPr>
      <w:sz w:val="18"/>
      <w:szCs w:val="18"/>
    </w:rPr>
  </w:style>
  <w:style w:type="character" w:customStyle="1" w:styleId="17">
    <w:name w:val="页脚 Char"/>
    <w:link w:val="8"/>
    <w:qFormat/>
    <w:uiPriority w:val="99"/>
    <w:rPr>
      <w:sz w:val="18"/>
      <w:szCs w:val="18"/>
    </w:rPr>
  </w:style>
  <w:style w:type="character" w:customStyle="1" w:styleId="18">
    <w:name w:val="页脚 Char1"/>
    <w:basedOn w:val="11"/>
    <w:semiHidden/>
    <w:qFormat/>
    <w:uiPriority w:val="99"/>
    <w:rPr>
      <w:sz w:val="18"/>
      <w:szCs w:val="18"/>
    </w:rPr>
  </w:style>
  <w:style w:type="character" w:customStyle="1" w:styleId="19">
    <w:name w:val="批注框文本 Char"/>
    <w:basedOn w:val="11"/>
    <w:link w:val="7"/>
    <w:semiHidden/>
    <w:qFormat/>
    <w:uiPriority w:val="99"/>
    <w:rPr>
      <w:sz w:val="18"/>
      <w:szCs w:val="18"/>
    </w:rPr>
  </w:style>
  <w:style w:type="paragraph" w:customStyle="1" w:styleId="20">
    <w:name w:val="WPSOffice手动目录 2"/>
    <w:qFormat/>
    <w:uiPriority w:val="0"/>
    <w:pPr>
      <w:ind w:leftChars="200"/>
    </w:pPr>
    <w:rPr>
      <w:rFonts w:asciiTheme="minorHAnsi" w:hAnsiTheme="minorHAnsi" w:eastAsiaTheme="minorEastAsia" w:cstheme="minorBidi"/>
      <w:sz w:val="20"/>
      <w:szCs w:val="20"/>
    </w:rPr>
  </w:style>
  <w:style w:type="paragraph" w:customStyle="1" w:styleId="21">
    <w:name w:val="WPSOffice手动目录 1"/>
    <w:qFormat/>
    <w:uiPriority w:val="0"/>
    <w:pPr>
      <w:ind w:leftChars="0"/>
    </w:pPr>
    <w:rPr>
      <w:rFonts w:asciiTheme="minorHAnsi" w:hAnsiTheme="minorHAnsi" w:eastAsiaTheme="minorEastAsia" w:cstheme="minorBidi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4" Type="http://schemas.openxmlformats.org/officeDocument/2006/relationships/fontTable" Target="fontTable.xml"/><Relationship Id="rId93" Type="http://schemas.openxmlformats.org/officeDocument/2006/relationships/numbering" Target="numbering.xml"/><Relationship Id="rId92" Type="http://schemas.openxmlformats.org/officeDocument/2006/relationships/customXml" Target="../customXml/item1.xml"/><Relationship Id="rId91" Type="http://schemas.openxmlformats.org/officeDocument/2006/relationships/image" Target="media/image82.png"/><Relationship Id="rId90" Type="http://schemas.openxmlformats.org/officeDocument/2006/relationships/image" Target="media/image81.png"/><Relationship Id="rId9" Type="http://schemas.openxmlformats.org/officeDocument/2006/relationships/theme" Target="theme/theme1.xml"/><Relationship Id="rId89" Type="http://schemas.openxmlformats.org/officeDocument/2006/relationships/image" Target="media/image80.png"/><Relationship Id="rId88" Type="http://schemas.openxmlformats.org/officeDocument/2006/relationships/image" Target="media/image79.png"/><Relationship Id="rId87" Type="http://schemas.openxmlformats.org/officeDocument/2006/relationships/image" Target="media/image78.png"/><Relationship Id="rId86" Type="http://schemas.openxmlformats.org/officeDocument/2006/relationships/image" Target="media/image77.png"/><Relationship Id="rId85" Type="http://schemas.openxmlformats.org/officeDocument/2006/relationships/image" Target="media/image76.png"/><Relationship Id="rId84" Type="http://schemas.openxmlformats.org/officeDocument/2006/relationships/image" Target="media/image75.png"/><Relationship Id="rId83" Type="http://schemas.openxmlformats.org/officeDocument/2006/relationships/image" Target="media/image74.png"/><Relationship Id="rId82" Type="http://schemas.openxmlformats.org/officeDocument/2006/relationships/image" Target="media/image73.png"/><Relationship Id="rId81" Type="http://schemas.openxmlformats.org/officeDocument/2006/relationships/image" Target="media/image72.png"/><Relationship Id="rId80" Type="http://schemas.openxmlformats.org/officeDocument/2006/relationships/image" Target="media/image71.png"/><Relationship Id="rId8" Type="http://schemas.openxmlformats.org/officeDocument/2006/relationships/footer" Target="footer3.xml"/><Relationship Id="rId79" Type="http://schemas.openxmlformats.org/officeDocument/2006/relationships/image" Target="media/image70.png"/><Relationship Id="rId78" Type="http://schemas.openxmlformats.org/officeDocument/2006/relationships/image" Target="media/image69.png"/><Relationship Id="rId77" Type="http://schemas.openxmlformats.org/officeDocument/2006/relationships/image" Target="media/image68.png"/><Relationship Id="rId76" Type="http://schemas.openxmlformats.org/officeDocument/2006/relationships/image" Target="media/image67.png"/><Relationship Id="rId75" Type="http://schemas.openxmlformats.org/officeDocument/2006/relationships/image" Target="media/image66.png"/><Relationship Id="rId74" Type="http://schemas.openxmlformats.org/officeDocument/2006/relationships/image" Target="media/image65.png"/><Relationship Id="rId73" Type="http://schemas.openxmlformats.org/officeDocument/2006/relationships/image" Target="media/image64.png"/><Relationship Id="rId72" Type="http://schemas.openxmlformats.org/officeDocument/2006/relationships/image" Target="media/image63.png"/><Relationship Id="rId71" Type="http://schemas.openxmlformats.org/officeDocument/2006/relationships/image" Target="media/image62.png"/><Relationship Id="rId70" Type="http://schemas.openxmlformats.org/officeDocument/2006/relationships/image" Target="media/image61.png"/><Relationship Id="rId7" Type="http://schemas.openxmlformats.org/officeDocument/2006/relationships/footer" Target="footer2.xml"/><Relationship Id="rId69" Type="http://schemas.openxmlformats.org/officeDocument/2006/relationships/image" Target="media/image60.png"/><Relationship Id="rId68" Type="http://schemas.openxmlformats.org/officeDocument/2006/relationships/image" Target="media/image59.png"/><Relationship Id="rId67" Type="http://schemas.openxmlformats.org/officeDocument/2006/relationships/image" Target="media/image58.png"/><Relationship Id="rId66" Type="http://schemas.openxmlformats.org/officeDocument/2006/relationships/image" Target="media/image57.png"/><Relationship Id="rId65" Type="http://schemas.openxmlformats.org/officeDocument/2006/relationships/image" Target="media/image56.png"/><Relationship Id="rId64" Type="http://schemas.openxmlformats.org/officeDocument/2006/relationships/image" Target="media/image55.png"/><Relationship Id="rId63" Type="http://schemas.openxmlformats.org/officeDocument/2006/relationships/image" Target="media/image54.png"/><Relationship Id="rId62" Type="http://schemas.openxmlformats.org/officeDocument/2006/relationships/image" Target="media/image53.png"/><Relationship Id="rId61" Type="http://schemas.openxmlformats.org/officeDocument/2006/relationships/image" Target="media/image52.png"/><Relationship Id="rId60" Type="http://schemas.openxmlformats.org/officeDocument/2006/relationships/image" Target="media/image51.png"/><Relationship Id="rId6" Type="http://schemas.openxmlformats.org/officeDocument/2006/relationships/footer" Target="footer1.xml"/><Relationship Id="rId59" Type="http://schemas.openxmlformats.org/officeDocument/2006/relationships/image" Target="media/image50.png"/><Relationship Id="rId58" Type="http://schemas.openxmlformats.org/officeDocument/2006/relationships/image" Target="media/image49.png"/><Relationship Id="rId57" Type="http://schemas.openxmlformats.org/officeDocument/2006/relationships/image" Target="media/image48.png"/><Relationship Id="rId56" Type="http://schemas.openxmlformats.org/officeDocument/2006/relationships/image" Target="media/image47.png"/><Relationship Id="rId55" Type="http://schemas.openxmlformats.org/officeDocument/2006/relationships/image" Target="media/image46.png"/><Relationship Id="rId54" Type="http://schemas.openxmlformats.org/officeDocument/2006/relationships/image" Target="media/image45.png"/><Relationship Id="rId53" Type="http://schemas.openxmlformats.org/officeDocument/2006/relationships/image" Target="media/image44.png"/><Relationship Id="rId52" Type="http://schemas.openxmlformats.org/officeDocument/2006/relationships/image" Target="media/image43.png"/><Relationship Id="rId51" Type="http://schemas.openxmlformats.org/officeDocument/2006/relationships/image" Target="media/image42.png"/><Relationship Id="rId50" Type="http://schemas.openxmlformats.org/officeDocument/2006/relationships/image" Target="media/image41.png"/><Relationship Id="rId5" Type="http://schemas.openxmlformats.org/officeDocument/2006/relationships/header" Target="header3.xml"/><Relationship Id="rId49" Type="http://schemas.openxmlformats.org/officeDocument/2006/relationships/image" Target="media/image40.png"/><Relationship Id="rId48" Type="http://schemas.openxmlformats.org/officeDocument/2006/relationships/image" Target="media/image39.png"/><Relationship Id="rId47" Type="http://schemas.openxmlformats.org/officeDocument/2006/relationships/image" Target="media/image38.png"/><Relationship Id="rId46" Type="http://schemas.openxmlformats.org/officeDocument/2006/relationships/image" Target="media/image37.png"/><Relationship Id="rId45" Type="http://schemas.openxmlformats.org/officeDocument/2006/relationships/image" Target="media/image36.png"/><Relationship Id="rId44" Type="http://schemas.openxmlformats.org/officeDocument/2006/relationships/image" Target="media/image35.png"/><Relationship Id="rId43" Type="http://schemas.openxmlformats.org/officeDocument/2006/relationships/image" Target="media/image34.png"/><Relationship Id="rId42" Type="http://schemas.openxmlformats.org/officeDocument/2006/relationships/image" Target="media/image33.png"/><Relationship Id="rId41" Type="http://schemas.openxmlformats.org/officeDocument/2006/relationships/image" Target="media/image32.png"/><Relationship Id="rId40" Type="http://schemas.openxmlformats.org/officeDocument/2006/relationships/image" Target="media/image31.png"/><Relationship Id="rId4" Type="http://schemas.openxmlformats.org/officeDocument/2006/relationships/header" Target="header2.xml"/><Relationship Id="rId39" Type="http://schemas.openxmlformats.org/officeDocument/2006/relationships/image" Target="media/image30.png"/><Relationship Id="rId38" Type="http://schemas.openxmlformats.org/officeDocument/2006/relationships/image" Target="media/image29.png"/><Relationship Id="rId37" Type="http://schemas.openxmlformats.org/officeDocument/2006/relationships/image" Target="media/image28.png"/><Relationship Id="rId36" Type="http://schemas.openxmlformats.org/officeDocument/2006/relationships/image" Target="media/image27.png"/><Relationship Id="rId35" Type="http://schemas.openxmlformats.org/officeDocument/2006/relationships/image" Target="media/image26.png"/><Relationship Id="rId34" Type="http://schemas.openxmlformats.org/officeDocument/2006/relationships/image" Target="media/image25.png"/><Relationship Id="rId33" Type="http://schemas.openxmlformats.org/officeDocument/2006/relationships/image" Target="media/image24.png"/><Relationship Id="rId32" Type="http://schemas.openxmlformats.org/officeDocument/2006/relationships/image" Target="media/image23.png"/><Relationship Id="rId31" Type="http://schemas.openxmlformats.org/officeDocument/2006/relationships/image" Target="media/image22.png"/><Relationship Id="rId30" Type="http://schemas.openxmlformats.org/officeDocument/2006/relationships/image" Target="media/image21.png"/><Relationship Id="rId3" Type="http://schemas.openxmlformats.org/officeDocument/2006/relationships/header" Target="header1.xml"/><Relationship Id="rId29" Type="http://schemas.openxmlformats.org/officeDocument/2006/relationships/image" Target="media/image20.png"/><Relationship Id="rId28" Type="http://schemas.openxmlformats.org/officeDocument/2006/relationships/image" Target="media/image19.png"/><Relationship Id="rId27" Type="http://schemas.openxmlformats.org/officeDocument/2006/relationships/image" Target="media/image18.png"/><Relationship Id="rId26" Type="http://schemas.openxmlformats.org/officeDocument/2006/relationships/image" Target="media/image17.png"/><Relationship Id="rId25" Type="http://schemas.openxmlformats.org/officeDocument/2006/relationships/image" Target="media/image16.png"/><Relationship Id="rId24" Type="http://schemas.openxmlformats.org/officeDocument/2006/relationships/image" Target="media/image15.png"/><Relationship Id="rId23" Type="http://schemas.openxmlformats.org/officeDocument/2006/relationships/image" Target="media/image14.png"/><Relationship Id="rId22" Type="http://schemas.openxmlformats.org/officeDocument/2006/relationships/image" Target="media/image13.png"/><Relationship Id="rId21" Type="http://schemas.openxmlformats.org/officeDocument/2006/relationships/image" Target="media/image12.png"/><Relationship Id="rId20" Type="http://schemas.openxmlformats.org/officeDocument/2006/relationships/image" Target="media/image11.png"/><Relationship Id="rId2" Type="http://schemas.openxmlformats.org/officeDocument/2006/relationships/settings" Target="settings.xml"/><Relationship Id="rId19" Type="http://schemas.openxmlformats.org/officeDocument/2006/relationships/image" Target="media/image10.png"/><Relationship Id="rId18" Type="http://schemas.openxmlformats.org/officeDocument/2006/relationships/image" Target="media/image9.png"/><Relationship Id="rId17" Type="http://schemas.openxmlformats.org/officeDocument/2006/relationships/image" Target="media/image8.png"/><Relationship Id="rId16" Type="http://schemas.openxmlformats.org/officeDocument/2006/relationships/image" Target="media/image7.png"/><Relationship Id="rId15" Type="http://schemas.openxmlformats.org/officeDocument/2006/relationships/image" Target="media/image6.png"/><Relationship Id="rId14" Type="http://schemas.openxmlformats.org/officeDocument/2006/relationships/image" Target="media/image5.png"/><Relationship Id="rId13" Type="http://schemas.openxmlformats.org/officeDocument/2006/relationships/image" Target="media/image4.png"/><Relationship Id="rId12" Type="http://schemas.openxmlformats.org/officeDocument/2006/relationships/image" Target="media/image3.png"/><Relationship Id="rId11" Type="http://schemas.openxmlformats.org/officeDocument/2006/relationships/image" Target="media/image2.png"/><Relationship Id="rId10" Type="http://schemas.openxmlformats.org/officeDocument/2006/relationships/image" Target="media/image1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4097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29</Pages>
  <Words>2852</Words>
  <Characters>2956</Characters>
  <Lines>11</Lines>
  <Paragraphs>3</Paragraphs>
  <TotalTime>0</TotalTime>
  <ScaleCrop>false</ScaleCrop>
  <LinksUpToDate>false</LinksUpToDate>
  <CharactersWithSpaces>3110</CharactersWithSpaces>
  <Application>WPS Office_6.5.2.8766_F1E327BC-269C-435d-A152-05C5408002CA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2014-12-22T17:54:00Z</dcterms:created>
  <dc:creator>Administrator</dc:creator>
  <cp:lastModifiedBy>    </cp:lastModifiedBy>
  <dcterms:modified xsi:type="dcterms:W3CDTF">2024-08-02T11:35:05Z</dcterms:modified>
  <cp:revision>14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2052-6.5.2.8766</vt:lpwstr>
  </property>
  <property fmtid="{D5CDD505-2E9C-101B-9397-08002B2CF9AE}" pid="3" name="ICV">
    <vt:lpwstr>33590A3EDAA7072720831164FB08191D</vt:lpwstr>
  </property>
</Properties>
</file>