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rPr>
          <w:rFonts w:ascii="Times New Roman" w:hAnsi="Times New Roman" w:eastAsia="宋体" w:cs="Times New Roman"/>
          <w:szCs w:val="24"/>
        </w:rPr>
      </w:pPr>
      <w:bookmarkStart w:id="0" w:name="_Toc339271412"/>
      <w:bookmarkStart w:id="1" w:name="_Toc342392097"/>
      <w:bookmarkStart w:id="2" w:name="_Toc33952445"/>
      <w:bookmarkStart w:id="3" w:name="_Toc30405379"/>
      <w:bookmarkStart w:id="4" w:name="_Toc342464559"/>
      <w:bookmarkStart w:id="5" w:name="_Toc14462"/>
      <w:bookmarkStart w:id="6" w:name="_Toc21836052"/>
      <w:bookmarkStart w:id="7" w:name="_Toc21836823"/>
      <w:bookmarkStart w:id="8" w:name="_Toc160524141"/>
      <w:bookmarkStart w:id="9" w:name="_Toc342465013"/>
      <w:bookmarkStart w:id="10" w:name="_Toc33952620"/>
      <w:bookmarkStart w:id="11" w:name="_Toc30497263"/>
      <w:bookmarkStart w:id="12" w:name="_Toc21835991"/>
      <w:bookmarkStart w:id="13" w:name="_Toc30392690"/>
      <w:bookmarkStart w:id="14" w:name="_Toc342465196"/>
      <w:bookmarkStart w:id="15" w:name="_Toc30412308"/>
      <w:bookmarkStart w:id="16" w:name="_Toc54238606"/>
      <w:bookmarkStart w:id="17" w:name="_Toc21836701"/>
      <w:bookmarkStart w:id="18" w:name="_Toc30411936"/>
      <w:bookmarkStart w:id="19" w:name="_Toc30392016"/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Times New Roman"/>
          <w:snapToGrid w:val="0"/>
          <w:szCs w:val="20"/>
        </w:rPr>
      </w:pPr>
      <w:r>
        <w:drawing>
          <wp:inline distT="0" distB="0" distL="114300" distR="114300">
            <wp:extent cx="3593465" cy="902335"/>
            <wp:effectExtent l="0" t="0" r="1333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jc w:val="both"/>
        <w:rPr>
          <w:rFonts w:hint="eastAsia" w:ascii="黑体" w:hAnsi="Times New Roman" w:eastAsia="黑体" w:cs="Times New Roman"/>
          <w:b/>
          <w:sz w:val="56"/>
          <w:szCs w:val="56"/>
          <w:lang w:eastAsia="zh-Hans"/>
        </w:rPr>
      </w:pPr>
    </w:p>
    <w:p>
      <w:pPr>
        <w:jc w:val="center"/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迎新服务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研究生新生</w:t>
      </w:r>
      <w:r>
        <w:rPr>
          <w:rFonts w:hint="eastAsia" w:ascii="黑体" w:hAnsi="Times New Roman" w:eastAsia="黑体" w:cs="Times New Roman"/>
          <w:b/>
          <w:sz w:val="56"/>
          <w:szCs w:val="56"/>
        </w:rPr>
        <w:t>操作手册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</w:p>
    <w:p>
      <w:pPr>
        <w:ind w:firstLine="420"/>
        <w:rPr>
          <w:rFonts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ind w:left="147" w:firstLine="3203" w:firstLineChars="1000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V1.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版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20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2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4</w:t>
      </w:r>
      <w:bookmarkStart w:id="28" w:name="_GoBack"/>
      <w:bookmarkEnd w:id="28"/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年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08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月</w:t>
      </w:r>
      <w:bookmarkEnd w:id="0"/>
    </w:p>
    <w:p>
      <w:pPr>
        <w:jc w:val="center"/>
        <w:rPr>
          <w:rFonts w:ascii="黑体" w:hAnsi="Times New Roman" w:eastAsia="黑体" w:cs="Times New Roman"/>
          <w:sz w:val="40"/>
          <w:szCs w:val="40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4750354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_Toc601096232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</w:rPr>
            <w:t xml:space="preserve">第1章  </w:t>
          </w:r>
          <w:r>
            <w:rPr>
              <w:rFonts w:hint="eastAsia"/>
              <w:sz w:val="21"/>
              <w:szCs w:val="21"/>
              <w:lang w:val="en-US" w:eastAsia="zh-Hans"/>
            </w:rPr>
            <w:t>登录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_Toc601096232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_Toc1776397569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  <w:lang w:val="en-US" w:eastAsia="zh-Hans"/>
            </w:rPr>
            <w:t>第</w:t>
          </w:r>
          <w:r>
            <w:rPr>
              <w:rFonts w:hint="default"/>
              <w:sz w:val="21"/>
              <w:szCs w:val="21"/>
              <w:lang w:eastAsia="zh-Hans"/>
            </w:rPr>
            <w:t>2</w:t>
          </w:r>
          <w:r>
            <w:rPr>
              <w:rFonts w:hint="eastAsia"/>
              <w:sz w:val="21"/>
              <w:szCs w:val="21"/>
              <w:lang w:val="en-US" w:eastAsia="zh-Hans"/>
            </w:rPr>
            <w:t>章</w:t>
          </w:r>
          <w:r>
            <w:rPr>
              <w:rFonts w:hint="eastAsia"/>
              <w:sz w:val="21"/>
              <w:szCs w:val="21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.1 </w:t>
          </w:r>
          <w:r>
            <w:rPr>
              <w:rFonts w:hint="eastAsia"/>
              <w:sz w:val="21"/>
              <w:szCs w:val="21"/>
              <w:lang w:val="en-US" w:eastAsia="zh-Hans"/>
            </w:rPr>
            <w:t>电脑</w:t>
          </w:r>
          <w:r>
            <w:rPr>
              <w:rFonts w:hint="eastAsia"/>
              <w:sz w:val="21"/>
              <w:szCs w:val="21"/>
              <w:lang w:val="en-US" w:eastAsia="zh-CN"/>
            </w:rPr>
            <w:t>端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迎新服务办理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0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志愿服务人员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3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_Toc191464352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移动端迎新服务办理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7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7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志愿服务人员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21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迎新导航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2.9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spacing w:line="360" w:lineRule="auto"/>
          </w:pPr>
          <w:r>
            <w:rPr>
              <w:sz w:val="21"/>
              <w:szCs w:val="21"/>
            </w:rPr>
            <w:fldChar w:fldCharType="end"/>
          </w:r>
        </w:p>
      </w:sdtContent>
    </w:sdt>
    <w:p>
      <w:pPr>
        <w:adjustRightInd w:val="0"/>
        <w:snapToGrid w:val="0"/>
        <w:spacing w:line="360" w:lineRule="auto"/>
        <w:jc w:val="center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z w:val="32"/>
          <w:szCs w:val="32"/>
        </w:rPr>
        <w:br w:type="page"/>
      </w:r>
    </w:p>
    <w:p>
      <w:pPr>
        <w:pStyle w:val="3"/>
        <w:bidi w:val="0"/>
        <w:outlineLvl w:val="0"/>
        <w:rPr>
          <w:rFonts w:ascii="Times New Roman" w:hAnsi="Times New Roman" w:eastAsia="宋体" w:cs="Times New Roman"/>
          <w:szCs w:val="24"/>
        </w:rPr>
      </w:pPr>
      <w:bookmarkStart w:id="20" w:name="_Toc601096232"/>
      <w:r>
        <w:rPr>
          <w:rFonts w:hint="eastAsia"/>
        </w:rPr>
        <w:t xml:space="preserve">第1章  </w:t>
      </w:r>
      <w:r>
        <w:rPr>
          <w:rFonts w:hint="eastAsia"/>
          <w:lang w:val="en-US" w:eastAsia="zh-Hans"/>
        </w:rPr>
        <w:t>登录</w:t>
      </w:r>
      <w:bookmarkEnd w:id="20"/>
    </w:p>
    <w:p>
      <w:pPr>
        <w:pStyle w:val="4"/>
        <w:bidi w:val="0"/>
        <w:outlineLvl w:val="1"/>
        <w:rPr>
          <w:rFonts w:hint="eastAsia"/>
        </w:rPr>
      </w:pPr>
      <w:bookmarkStart w:id="21" w:name="_Toc54238614"/>
      <w:bookmarkStart w:id="22" w:name="_Toc861295736"/>
      <w:r>
        <w:rPr>
          <w:rFonts w:hint="eastAsia"/>
        </w:rPr>
        <w:t>1.1如何登录</w:t>
      </w:r>
      <w:bookmarkEnd w:id="21"/>
      <w:bookmarkEnd w:id="22"/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  <w:lang w:eastAsia="zh-CN"/>
        </w:rPr>
      </w:pPr>
      <w:bookmarkStart w:id="23" w:name="_Toc108620672"/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“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湖南科大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”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之后，点击“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学工服务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”，在“学工服务”模块中，点击“迎新服务”，</w:t>
      </w:r>
      <w:r>
        <w:rPr>
          <w:rFonts w:hint="eastAsia"/>
          <w:b w:val="0"/>
          <w:color w:val="auto"/>
          <w:kern w:val="2"/>
          <w:szCs w:val="20"/>
          <w:lang w:eastAsia="zh-CN"/>
        </w:rPr>
        <w:t>如下图所示，</w:t>
      </w:r>
      <w:r>
        <w:rPr>
          <w:rFonts w:hint="eastAsia"/>
          <w:b w:val="0"/>
          <w:color w:val="auto"/>
          <w:kern w:val="2"/>
          <w:szCs w:val="20"/>
          <w:lang w:val="en-US" w:eastAsia="zh-CN"/>
        </w:rPr>
        <w:t>登录之前请先完成账号激活</w:t>
      </w:r>
      <w:r>
        <w:rPr>
          <w:rFonts w:hint="eastAsia"/>
          <w:b w:val="0"/>
          <w:color w:val="auto"/>
          <w:kern w:val="2"/>
          <w:szCs w:val="20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1579880" cy="3434080"/>
            <wp:effectExtent l="0" t="0" r="20320" b="2032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86865" cy="3435350"/>
            <wp:effectExtent l="0" t="0" r="13335" b="190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</w:rPr>
      </w:pP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电脑端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bookmarkEnd w:id="23"/>
      <w:bookmarkStart w:id="24" w:name="_Toc752153018"/>
      <w:r>
        <w:rPr>
          <w:rFonts w:hint="eastAsia"/>
          <w:b w:val="0"/>
          <w:color w:val="auto"/>
          <w:kern w:val="2"/>
          <w:szCs w:val="20"/>
        </w:rPr>
        <w:t>打开浏览器输入“http://xgxt.hnust.edu.cn”进入后，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输入学号和密码即可进入迎新服务，初次使用请先“激活账号”，推荐使用谷歌浏览器、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4"/>
    </w:p>
    <w:p>
      <w:pPr>
        <w:ind w:firstLine="840" w:firstLineChars="400"/>
        <w:rPr>
          <w:rFonts w:hint="eastAsia" w:ascii="Times New Roman" w:hAnsi="Times New Roman" w:eastAsia="宋体" w:cs="Times New Roman"/>
          <w:szCs w:val="24"/>
          <w:lang w:eastAsia="zh-Hans"/>
        </w:rPr>
      </w:pPr>
      <w:r>
        <w:rPr>
          <w:rFonts w:hint="eastAsia" w:ascii="宋体" w:hAnsi="宋体" w:eastAsia="宋体" w:cs="Times New Roman"/>
          <w:bCs/>
          <w:szCs w:val="24"/>
        </w:rPr>
        <w:t>登录界面如下</w:t>
      </w:r>
      <w:r>
        <w:rPr>
          <w:rFonts w:hint="eastAsia" w:ascii="宋体" w:hAnsi="宋体" w:eastAsia="宋体" w:cs="Times New Roman"/>
          <w:bCs/>
          <w:szCs w:val="24"/>
          <w:lang w:eastAsia="zh-Hans"/>
        </w:rPr>
        <w:t>：</w:t>
      </w:r>
    </w:p>
    <w:p>
      <w:pPr>
        <w:pStyle w:val="4"/>
        <w:bidi w:val="0"/>
        <w:jc w:val="center"/>
        <w:outlineLvl w:val="9"/>
      </w:pPr>
      <w:r>
        <w:drawing>
          <wp:inline distT="0" distB="0" distL="114300" distR="114300">
            <wp:extent cx="5035550" cy="2734310"/>
            <wp:effectExtent l="0" t="0" r="19050" b="8890"/>
            <wp:docPr id="2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>
      <w:pPr>
        <w:rPr>
          <w:rFonts w:hint="eastAsia"/>
          <w:lang w:val="en-US" w:eastAsia="zh-Hans"/>
        </w:rPr>
      </w:pPr>
      <w:bookmarkStart w:id="25" w:name="_Toc1776397569"/>
      <w:r>
        <w:rPr>
          <w:rFonts w:hint="eastAsia"/>
          <w:lang w:val="en-US" w:eastAsia="zh-Hans"/>
        </w:rPr>
        <w:br w:type="page"/>
      </w:r>
    </w:p>
    <w:p>
      <w:pPr>
        <w:pStyle w:val="3"/>
        <w:bidi w:val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章</w:t>
      </w:r>
      <w:r>
        <w:rPr>
          <w:rFonts w:hint="eastAsia"/>
        </w:rPr>
        <w:t xml:space="preserve"> </w:t>
      </w:r>
      <w:bookmarkEnd w:id="25"/>
      <w:r>
        <w:rPr>
          <w:rFonts w:hint="eastAsia"/>
          <w:lang w:val="en-US" w:eastAsia="zh-Hans"/>
        </w:rPr>
        <w:t>迎新服务</w:t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bookmarkStart w:id="26" w:name="_Toc1596281589"/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 xml:space="preserve">.1 </w:t>
      </w:r>
      <w:r>
        <w:rPr>
          <w:rFonts w:hint="eastAsia"/>
          <w:sz w:val="28"/>
          <w:szCs w:val="28"/>
          <w:lang w:val="en-US" w:eastAsia="zh-Hans"/>
        </w:rPr>
        <w:t>电脑</w:t>
      </w:r>
      <w:r>
        <w:rPr>
          <w:rFonts w:hint="eastAsia"/>
          <w:sz w:val="28"/>
          <w:szCs w:val="28"/>
          <w:lang w:val="en-US" w:eastAsia="zh-CN"/>
        </w:rPr>
        <w:t>端</w:t>
      </w:r>
      <w:bookmarkEnd w:id="26"/>
      <w:r>
        <w:rPr>
          <w:rFonts w:hint="eastAsia"/>
          <w:sz w:val="28"/>
          <w:szCs w:val="28"/>
          <w:lang w:val="en-US" w:eastAsia="zh-Hans"/>
        </w:rPr>
        <w:t>办理迎新服务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进入系统之后，点击“迎新服务”，点击“</w:t>
      </w:r>
      <w:r>
        <w:rPr>
          <w:rFonts w:hint="eastAsia"/>
          <w:lang w:val="en-US" w:eastAsia="zh-CN"/>
        </w:rPr>
        <w:t>系统</w:t>
      </w:r>
      <w:r>
        <w:rPr>
          <w:rFonts w:hint="eastAsia"/>
          <w:lang w:val="en-US" w:eastAsia="zh-Hans"/>
        </w:rPr>
        <w:t>迎新”进入迎新服务办理中</w:t>
      </w:r>
      <w:r>
        <w:rPr>
          <w:rFonts w:hint="eastAsia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73040" cy="280162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进入迎新服务之后，迎新服务分为四个模块内容，学习园地、教育管理协议、线上办理、财务缴费，需要按顺序进行办理，右上角标识为“必办”的服务为必须办理完成环节，办理完成之后在服务右上角显示“已办理”。</w:t>
      </w:r>
    </w:p>
    <w:p>
      <w:r>
        <w:drawing>
          <wp:inline distT="0" distB="0" distL="114300" distR="114300">
            <wp:extent cx="5270500" cy="2672715"/>
            <wp:effectExtent l="0" t="0" r="12700" b="1968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10260"/>
            <wp:effectExtent l="0" t="0" r="10795" b="25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eastAsia="zh-Hans"/>
        </w:rPr>
        <w:t>2.1.1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点击“入学教育”即可查询到相关学习资料，点击文件名称即可进行下载学习</w:t>
      </w:r>
      <w:r>
        <w:t>。</w:t>
      </w:r>
    </w:p>
    <w:p>
      <w:r>
        <w:drawing>
          <wp:inline distT="0" distB="0" distL="114300" distR="114300">
            <wp:extent cx="5266690" cy="2307590"/>
            <wp:effectExtent l="0" t="0" r="16510" b="38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点击“教育管理协议”，即可进入教育管理协议页面，阅读相关内容，可点击“我同意”，完成办理，请刷新一下网页，更新服务办理完成状态再进行办理其他服务</w:t>
      </w:r>
      <w:r>
        <w:t>。</w:t>
      </w:r>
    </w:p>
    <w:p>
      <w:r>
        <w:drawing>
          <wp:inline distT="0" distB="0" distL="114300" distR="114300">
            <wp:extent cx="5265420" cy="2712720"/>
            <wp:effectExtent l="0" t="0" r="17780" b="5080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2.1.3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r>
        <w:rPr>
          <w:rFonts w:hint="default" w:ascii="宋体"/>
        </w:rPr>
        <w:t xml:space="preserve">    </w:t>
      </w:r>
      <w:r>
        <w:rPr>
          <w:rFonts w:hint="eastAsia" w:ascii="宋体"/>
          <w:lang w:val="en-US" w:eastAsia="zh-Hans"/>
        </w:rPr>
        <w:t>第一步：点击“新生选房”进入选房页面，点击“点击进入”；</w:t>
      </w:r>
    </w:p>
    <w:p>
      <w:r>
        <w:drawing>
          <wp:inline distT="0" distB="0" distL="114300" distR="114300">
            <wp:extent cx="5267325" cy="2485390"/>
            <wp:effectExtent l="0" t="0" r="1587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选房页面，可查看楼栋房间分布图，如果对应可选楼栋涉及多栋楼，请点击上方楼栋选择进行切换，蓝色房间为可选房间，个别楼栋平面图较大，请注意左右上下拖动查看分布，点击“可选房间号”。</w:t>
      </w:r>
    </w:p>
    <w:p>
      <w:r>
        <w:drawing>
          <wp:inline distT="0" distB="0" distL="114300" distR="114300">
            <wp:extent cx="5266690" cy="2518410"/>
            <wp:effectExtent l="0" t="0" r="16510" b="21590"/>
            <wp:docPr id="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第三步：进入床位选择页面，点击“床位”，点击“确定”即可完成选房，或点击“随机分配”，系统自动分配床位。</w:t>
      </w:r>
    </w:p>
    <w:p>
      <w:r>
        <w:drawing>
          <wp:inline distT="0" distB="0" distL="114300" distR="114300">
            <wp:extent cx="5264150" cy="2228215"/>
            <wp:effectExtent l="0" t="0" r="19050" b="6985"/>
            <wp:docPr id="1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第四步：完成选房如下图所示。</w:t>
      </w:r>
    </w:p>
    <w:p>
      <w:r>
        <w:drawing>
          <wp:inline distT="0" distB="0" distL="114300" distR="114300">
            <wp:extent cx="5273675" cy="2487930"/>
            <wp:effectExtent l="0" t="0" r="9525" b="1270"/>
            <wp:docPr id="1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2.1.4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4741545" cy="2308225"/>
            <wp:effectExtent l="0" t="0" r="8255" b="31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42485" cy="2537460"/>
            <wp:effectExtent l="0" t="0" r="5715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2.1.5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615815" cy="2533650"/>
            <wp:effectExtent l="0" t="0" r="6985" b="6350"/>
            <wp:docPr id="1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525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第一步：点击“家长确认签名”；</w:t>
      </w:r>
    </w:p>
    <w:p>
      <w:r>
        <w:drawing>
          <wp:inline distT="0" distB="0" distL="114300" distR="114300">
            <wp:extent cx="4609465" cy="2200275"/>
            <wp:effectExtent l="0" t="0" r="13335" b="9525"/>
            <wp:docPr id="1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r>
        <w:drawing>
          <wp:inline distT="0" distB="0" distL="114300" distR="114300">
            <wp:extent cx="4617720" cy="2475865"/>
            <wp:effectExtent l="0" t="0" r="5080" b="13335"/>
            <wp:docPr id="13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0255" cy="816610"/>
            <wp:effectExtent l="0" t="0" r="17145" b="2159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</w:t>
      </w:r>
      <w:r>
        <w:rPr>
          <w:rFonts w:hint="eastAsia"/>
          <w:lang w:val="en-US" w:eastAsia="zh-CN"/>
        </w:rPr>
        <w:t>，已确认放弃购买，需要重新购买可点击“撤销放弃”，重新进行购买</w:t>
      </w:r>
      <w:r>
        <w:rPr>
          <w:rFonts w:hint="eastAsia"/>
          <w:lang w:val="en-US" w:eastAsia="zh-Hans"/>
        </w:rPr>
        <w:t>。</w:t>
      </w:r>
    </w:p>
    <w:p>
      <w:r>
        <w:drawing>
          <wp:inline distT="0" distB="0" distL="114300" distR="114300">
            <wp:extent cx="4596765" cy="2465070"/>
            <wp:effectExtent l="0" t="0" r="635" b="24130"/>
            <wp:docPr id="13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9460" cy="814070"/>
            <wp:effectExtent l="0" t="0" r="2540" b="24130"/>
            <wp:docPr id="13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2.1.6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9230" cy="2674620"/>
            <wp:effectExtent l="0" t="0" r="13970" b="17780"/>
            <wp:docPr id="14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不能大于应缴总金额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，填写“申请陈述”，点击“提交申请”即可完成。</w:t>
      </w:r>
    </w:p>
    <w:p>
      <w:r>
        <w:drawing>
          <wp:inline distT="0" distB="0" distL="114300" distR="114300">
            <wp:extent cx="5270500" cy="3404870"/>
            <wp:effectExtent l="0" t="0" r="12700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r>
        <w:drawing>
          <wp:inline distT="0" distB="0" distL="114300" distR="114300">
            <wp:extent cx="5266690" cy="3416935"/>
            <wp:effectExtent l="0" t="0" r="165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r>
        <w:drawing>
          <wp:inline distT="0" distB="0" distL="114300" distR="114300">
            <wp:extent cx="5266690" cy="3399155"/>
            <wp:effectExtent l="0" t="0" r="165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2.1.7</w:t>
      </w:r>
      <w:r>
        <w:rPr>
          <w:rFonts w:hint="eastAsia"/>
          <w:sz w:val="24"/>
          <w:szCs w:val="24"/>
          <w:lang w:val="en-US" w:eastAsia="zh-Hans"/>
        </w:rPr>
        <w:t>志愿服务人员</w:t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点击“志愿服务人员”，即可查询到“辅导员”、“志愿者”的姓名和联系电话，志愿者信息需要选房成功之后才显示。</w:t>
      </w:r>
    </w:p>
    <w:p>
      <w:r>
        <w:drawing>
          <wp:inline distT="0" distB="0" distL="114300" distR="114300">
            <wp:extent cx="5263515" cy="1839595"/>
            <wp:effectExtent l="0" t="0" r="19685" b="1460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2.1.8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点击“前往缴费”，</w:t>
      </w:r>
    </w:p>
    <w:p>
      <w:pPr>
        <w:jc w:val="center"/>
      </w:pPr>
      <w:r>
        <w:drawing>
          <wp:inline distT="0" distB="0" distL="114300" distR="114300">
            <wp:extent cx="5269230" cy="2263140"/>
            <wp:effectExtent l="0" t="0" r="13970" b="22860"/>
            <wp:docPr id="1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第二步：进入缴费须知页面，可按提示完成缴费，缴费完成之后，请刷新页面，再进入“财务缴费”中，查询缴费情况。</w:t>
      </w:r>
    </w:p>
    <w:p>
      <w:pPr>
        <w:jc w:val="center"/>
      </w:pPr>
      <w:r>
        <w:drawing>
          <wp:inline distT="0" distB="0" distL="114300" distR="114300">
            <wp:extent cx="4880610" cy="2388870"/>
            <wp:effectExtent l="0" t="0" r="21590" b="2413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Hans"/>
        </w:rPr>
        <w:t>手机端办理迎新服务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进入迎新服务之后，迎新服务分为四个模块内容，学习园地、教育管理协议、线上办理、财务缴费，需要按顺序进行办理，服务前面有“</w:t>
      </w:r>
      <w:r>
        <w:rPr>
          <w:rFonts w:hint="default"/>
          <w:color w:val="FF0000"/>
          <w:lang w:eastAsia="zh-Hans"/>
        </w:rPr>
        <w:t>*</w:t>
      </w:r>
      <w:r>
        <w:rPr>
          <w:rFonts w:hint="eastAsia"/>
          <w:lang w:val="en-US" w:eastAsia="zh-Hans"/>
        </w:rPr>
        <w:t>”为必须办理完成环节，办理完成之后在服务名称后显示“</w:t>
      </w:r>
      <w:r>
        <w:drawing>
          <wp:inline distT="0" distB="0" distL="114300" distR="114300">
            <wp:extent cx="206375" cy="148590"/>
            <wp:effectExtent l="0" t="0" r="22225" b="3810"/>
            <wp:docPr id="23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8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”</w:t>
      </w:r>
      <w:r>
        <w:rPr>
          <w:rFonts w:hint="eastAsia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013585" cy="3549650"/>
            <wp:effectExtent l="0" t="0" r="18415" b="635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eastAsia="zh-Hans"/>
        </w:rPr>
        <w:t>2.2.1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点击“入学教育”即可查询到相关学习资料，点击文件名称即可在线学习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2733675" cy="3081020"/>
            <wp:effectExtent l="0" t="0" r="9525" b="1778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1731645" cy="3038475"/>
            <wp:effectExtent l="0" t="0" r="20955" b="9525"/>
            <wp:docPr id="1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2.2.3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pPr>
        <w:ind w:firstLine="420" w:firstLineChars="200"/>
      </w:pPr>
      <w:r>
        <w:rPr>
          <w:rFonts w:hint="eastAsia" w:ascii="宋体"/>
          <w:lang w:val="en-US" w:eastAsia="zh-Hans"/>
        </w:rPr>
        <w:t>第一步：点击“新生选房”进入选房页面，点击“我要选房”，即可显示可选房间，点击“选择”按钮</w:t>
      </w:r>
      <w:r>
        <w:rPr>
          <w:rFonts w:hint="eastAsia" w:ascii="宋体" w:hAnsi="宋体" w:cs="宋体"/>
        </w:rPr>
        <w:t>。</w:t>
      </w:r>
    </w:p>
    <w:p>
      <w:pPr>
        <w:jc w:val="center"/>
      </w:pPr>
      <w:r>
        <w:drawing>
          <wp:inline distT="0" distB="0" distL="114300" distR="114300">
            <wp:extent cx="1994535" cy="3456940"/>
            <wp:effectExtent l="0" t="0" r="12065" b="22860"/>
            <wp:docPr id="1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3377565"/>
            <wp:effectExtent l="0" t="0" r="1587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第二步：点击“选择该宿舍”，点击“床位号”，点击“确定”按钮即可完成选房，或点击“随机分配”，系统自动分配床位。</w:t>
      </w:r>
    </w:p>
    <w:p>
      <w:pPr>
        <w:jc w:val="center"/>
      </w:pPr>
      <w:r>
        <w:drawing>
          <wp:inline distT="0" distB="0" distL="114300" distR="114300">
            <wp:extent cx="2405380" cy="4195445"/>
            <wp:effectExtent l="0" t="0" r="7620" b="20955"/>
            <wp:docPr id="18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995" cy="4195445"/>
            <wp:effectExtent l="0" t="0" r="14605" b="20955"/>
            <wp:docPr id="1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260" cy="3388995"/>
            <wp:effectExtent l="0" t="0" r="2540" b="14605"/>
            <wp:docPr id="1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2.2.4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点击“照片采集”，进入采集说明页面，点击“照片采集系统”，需要再次输入账号密码进行登录，进入人脸信息采集系统，采集完成之后，点击下方“已完成采集”按钮，完成服务办理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1234440" cy="2672715"/>
            <wp:effectExtent l="0" t="0" r="10160" b="196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8885" cy="2680335"/>
            <wp:effectExtent l="0" t="0" r="5715" b="1206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7140" cy="2709545"/>
            <wp:effectExtent l="0" t="0" r="22860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2.2.5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139950" cy="3709670"/>
            <wp:effectExtent l="0" t="0" r="19050" b="24130"/>
            <wp:docPr id="22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7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525"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第一步：点击“家长确认签名”；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392045" cy="3776980"/>
            <wp:effectExtent l="0" t="0" r="20955" b="7620"/>
            <wp:docPr id="22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pPr>
        <w:jc w:val="center"/>
      </w:pPr>
      <w:r>
        <w:drawing>
          <wp:inline distT="0" distB="0" distL="114300" distR="114300">
            <wp:extent cx="2096135" cy="3613785"/>
            <wp:effectExtent l="0" t="0" r="12065" b="18415"/>
            <wp:docPr id="20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default"/>
          <w:lang w:val="en-US" w:eastAsia="zh-Hans"/>
        </w:rPr>
        <w:t xml:space="preserve"> </w:t>
      </w:r>
      <w:r>
        <w:rPr>
          <w:rFonts w:hint="default"/>
          <w:lang w:eastAsia="zh-Hans"/>
        </w:rPr>
        <w:t xml:space="preserve">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</w:t>
      </w:r>
      <w:r>
        <w:rPr>
          <w:rFonts w:hint="eastAsia"/>
          <w:lang w:val="en-US" w:eastAsia="zh-CN"/>
        </w:rPr>
        <w:t>，已确认放弃购买，需要重新购买可点击“撤销放弃”，重新进行购买</w:t>
      </w:r>
      <w:r>
        <w:rPr>
          <w:rFonts w:hint="eastAsia"/>
          <w:lang w:val="en-US"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1913890" cy="3299460"/>
            <wp:effectExtent l="0" t="0" r="16510" b="2540"/>
            <wp:docPr id="24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2.2.6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077720" cy="3543935"/>
            <wp:effectExtent l="0" t="0" r="5080" b="12065"/>
            <wp:docPr id="2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7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”，选择“贷款银行类别”为“国家开放银行”，点击上传“证明材料”，证明材料为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，避免无法自动识别出“贷款金额”和“回执验证码”，填写“缓缴金额”，填写“申请陈述”，点击“提交申请”即可完成。</w:t>
      </w:r>
    </w:p>
    <w:p>
      <w:pPr>
        <w:jc w:val="center"/>
      </w:pPr>
      <w:r>
        <w:drawing>
          <wp:inline distT="0" distB="0" distL="114300" distR="114300">
            <wp:extent cx="1905635" cy="3356610"/>
            <wp:effectExtent l="0" t="0" r="24765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pPr>
        <w:jc w:val="center"/>
      </w:pPr>
      <w:r>
        <w:drawing>
          <wp:inline distT="0" distB="0" distL="114300" distR="114300">
            <wp:extent cx="2120265" cy="3620135"/>
            <wp:effectExtent l="0" t="0" r="13335" b="12065"/>
            <wp:docPr id="22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pPr>
        <w:jc w:val="center"/>
      </w:pPr>
      <w:r>
        <w:drawing>
          <wp:inline distT="0" distB="0" distL="114300" distR="114300">
            <wp:extent cx="2079625" cy="3522345"/>
            <wp:effectExtent l="0" t="0" r="3175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2.2.7</w:t>
      </w:r>
      <w:r>
        <w:rPr>
          <w:rFonts w:hint="eastAsia"/>
          <w:sz w:val="24"/>
          <w:szCs w:val="24"/>
          <w:lang w:val="en-US" w:eastAsia="zh-Hans"/>
        </w:rPr>
        <w:t>志愿服务人员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点击“志愿服务人员”，即可查询到“辅导员”、“志愿者”的姓名和联系电话，志愿者信息需要选房成功之后才显示。</w:t>
      </w:r>
    </w:p>
    <w:p>
      <w:pPr>
        <w:jc w:val="center"/>
      </w:pPr>
      <w:r>
        <w:drawing>
          <wp:inline distT="0" distB="0" distL="114300" distR="114300">
            <wp:extent cx="2113915" cy="2994660"/>
            <wp:effectExtent l="0" t="0" r="19685" b="254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eastAsia="zh-Hans"/>
        </w:rPr>
        <w:t>2.2.8</w:t>
      </w:r>
      <w:r>
        <w:rPr>
          <w:rFonts w:hint="eastAsia"/>
          <w:sz w:val="24"/>
          <w:szCs w:val="24"/>
          <w:lang w:val="en-US" w:eastAsia="zh-Hans"/>
        </w:rPr>
        <w:t>迎新导航</w:t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点击“迎新导航”，即可显示宿舍楼栋信息，点击宿舍楼栋，即可显示导航地图，点击“开始导航”，即可打开地图进行导航，企业微信默认打开为“腾讯地图”。</w:t>
      </w:r>
    </w:p>
    <w:p>
      <w:pPr>
        <w:jc w:val="center"/>
      </w:pPr>
      <w:r>
        <w:drawing>
          <wp:inline distT="0" distB="0" distL="114300" distR="114300">
            <wp:extent cx="1649095" cy="3430905"/>
            <wp:effectExtent l="0" t="0" r="1905" b="234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  <w:r>
        <w:drawing>
          <wp:inline distT="0" distB="0" distL="114300" distR="114300">
            <wp:extent cx="1647190" cy="3421380"/>
            <wp:effectExtent l="0" t="0" r="381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2.2.13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840" w:firstLineChars="4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</w:pPr>
      <w:r>
        <w:rPr>
          <w:rFonts w:hint="eastAsia"/>
          <w:lang w:val="en-US" w:eastAsia="zh-Hans"/>
        </w:rPr>
        <w:t>点击“前往缴费”；</w:t>
      </w:r>
    </w:p>
    <w:p>
      <w:pPr>
        <w:jc w:val="center"/>
      </w:pPr>
      <w:r>
        <w:drawing>
          <wp:inline distT="0" distB="0" distL="114300" distR="114300">
            <wp:extent cx="1602740" cy="2794635"/>
            <wp:effectExtent l="0" t="0" r="22860" b="24765"/>
            <wp:docPr id="21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6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第二步：进入缴费须知页面，可按提示完成缴费，缴费完成之后，再进入“财务缴费”中，查询缴费情况。</w:t>
      </w:r>
    </w:p>
    <w:p>
      <w:pPr>
        <w:jc w:val="center"/>
      </w:pPr>
      <w:r>
        <w:drawing>
          <wp:inline distT="0" distB="0" distL="114300" distR="114300">
            <wp:extent cx="1944370" cy="3375025"/>
            <wp:effectExtent l="0" t="0" r="11430" b="3175"/>
            <wp:docPr id="21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6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wordWrap w:val="0"/>
        <w:adjustRightInd w:val="0"/>
        <w:snapToGrid w:val="0"/>
        <w:spacing w:line="360" w:lineRule="auto"/>
        <w:jc w:val="right"/>
        <w:outlineLvl w:val="1"/>
        <w:rPr>
          <w:rFonts w:hint="default" w:eastAsiaTheme="minorEastAsia"/>
          <w:lang w:eastAsia="zh-Hans"/>
        </w:rPr>
      </w:pPr>
      <w:bookmarkStart w:id="27" w:name="_Toc1563829733"/>
      <w:r>
        <w:rPr>
          <w:rFonts w:hint="default"/>
          <w:lang w:eastAsia="zh-Hans"/>
        </w:rPr>
        <w:t>---</w:t>
      </w:r>
      <w:r>
        <w:rPr>
          <w:rFonts w:hint="eastAsia"/>
          <w:lang w:val="en-US" w:eastAsia="zh-Hans"/>
        </w:rPr>
        <w:t>文档完毕</w:t>
      </w:r>
      <w:r>
        <w:rPr>
          <w:rFonts w:hint="default"/>
          <w:lang w:eastAsia="zh-Hans"/>
        </w:rPr>
        <w:t>---</w:t>
      </w:r>
      <w:bookmarkEnd w:id="27"/>
      <w:r>
        <w:rPr>
          <w:rFonts w:hint="default"/>
          <w:lang w:eastAsia="zh-Hans"/>
        </w:rPr>
        <w:t xml:space="preserve">    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文本框 2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FD1851"/>
    <w:multiLevelType w:val="singleLevel"/>
    <w:tmpl w:val="A6FD1851"/>
    <w:lvl w:ilvl="0" w:tentative="0">
      <w:start w:val="2"/>
      <w:numFmt w:val="decimal"/>
      <w:suff w:val="nothing"/>
      <w:lvlText w:val="%1、"/>
      <w:lvlJc w:val="left"/>
      <w:pPr>
        <w:ind w:left="525" w:leftChars="0" w:firstLine="0" w:firstLineChars="0"/>
      </w:pPr>
    </w:lvl>
  </w:abstractNum>
  <w:abstractNum w:abstractNumId="1">
    <w:nsid w:val="B3760957"/>
    <w:multiLevelType w:val="singleLevel"/>
    <w:tmpl w:val="B37609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djN2Q2N2NjNDlkZDQ1NGY3NDA1OTUzMzM0MTA2ODUifQ=="/>
  </w:docVars>
  <w:rsids>
    <w:rsidRoot w:val="0049220B"/>
    <w:rsid w:val="001205A9"/>
    <w:rsid w:val="0014177A"/>
    <w:rsid w:val="00161C2D"/>
    <w:rsid w:val="00243F30"/>
    <w:rsid w:val="002C6303"/>
    <w:rsid w:val="002D7999"/>
    <w:rsid w:val="003B103D"/>
    <w:rsid w:val="0049220B"/>
    <w:rsid w:val="005971A9"/>
    <w:rsid w:val="005C2E9A"/>
    <w:rsid w:val="005D03B2"/>
    <w:rsid w:val="0069004B"/>
    <w:rsid w:val="00700D20"/>
    <w:rsid w:val="00720AD7"/>
    <w:rsid w:val="00752265"/>
    <w:rsid w:val="00841347"/>
    <w:rsid w:val="009668AE"/>
    <w:rsid w:val="00A50E2E"/>
    <w:rsid w:val="00A5777D"/>
    <w:rsid w:val="00A6102A"/>
    <w:rsid w:val="00AA3CE0"/>
    <w:rsid w:val="00BB608D"/>
    <w:rsid w:val="00DB04F3"/>
    <w:rsid w:val="00FB3D07"/>
    <w:rsid w:val="00FD5827"/>
    <w:rsid w:val="06153565"/>
    <w:rsid w:val="06F5308F"/>
    <w:rsid w:val="0B11682A"/>
    <w:rsid w:val="0B3A52B6"/>
    <w:rsid w:val="0BE15C6B"/>
    <w:rsid w:val="12B47007"/>
    <w:rsid w:val="17E3550E"/>
    <w:rsid w:val="1D9A3387"/>
    <w:rsid w:val="225E2297"/>
    <w:rsid w:val="237B2DAA"/>
    <w:rsid w:val="2659CCF2"/>
    <w:rsid w:val="269E3659"/>
    <w:rsid w:val="26AA2154"/>
    <w:rsid w:val="27051FF2"/>
    <w:rsid w:val="28761C43"/>
    <w:rsid w:val="2CDBB03F"/>
    <w:rsid w:val="2FBE2A02"/>
    <w:rsid w:val="2FD338FC"/>
    <w:rsid w:val="30A42BA1"/>
    <w:rsid w:val="326C2EB2"/>
    <w:rsid w:val="35711D79"/>
    <w:rsid w:val="367F6FE1"/>
    <w:rsid w:val="3B806F73"/>
    <w:rsid w:val="3D323A36"/>
    <w:rsid w:val="3D584C0B"/>
    <w:rsid w:val="3D77515B"/>
    <w:rsid w:val="3DE9D703"/>
    <w:rsid w:val="3E056E30"/>
    <w:rsid w:val="3F9E5A8A"/>
    <w:rsid w:val="3FFBBA9F"/>
    <w:rsid w:val="44F7014F"/>
    <w:rsid w:val="489176EE"/>
    <w:rsid w:val="4CDE53C4"/>
    <w:rsid w:val="4E0B057D"/>
    <w:rsid w:val="4E621A54"/>
    <w:rsid w:val="4FF83FF1"/>
    <w:rsid w:val="4FFC71A0"/>
    <w:rsid w:val="517F5B7B"/>
    <w:rsid w:val="54AE67C0"/>
    <w:rsid w:val="554764CF"/>
    <w:rsid w:val="55A1413F"/>
    <w:rsid w:val="55E9568A"/>
    <w:rsid w:val="566327FA"/>
    <w:rsid w:val="57E514DF"/>
    <w:rsid w:val="58E97957"/>
    <w:rsid w:val="5B8213DC"/>
    <w:rsid w:val="5DAF46DC"/>
    <w:rsid w:val="5DF04296"/>
    <w:rsid w:val="5E56E0F1"/>
    <w:rsid w:val="5ECA3D86"/>
    <w:rsid w:val="5FFB13F1"/>
    <w:rsid w:val="6A77B4C2"/>
    <w:rsid w:val="6BE769F8"/>
    <w:rsid w:val="6BF37F42"/>
    <w:rsid w:val="6D834B52"/>
    <w:rsid w:val="6DB7E0CF"/>
    <w:rsid w:val="6FBCD963"/>
    <w:rsid w:val="71DFCDA2"/>
    <w:rsid w:val="76DFE1EF"/>
    <w:rsid w:val="779C0BBC"/>
    <w:rsid w:val="78436C2C"/>
    <w:rsid w:val="79CB512B"/>
    <w:rsid w:val="7AB6117B"/>
    <w:rsid w:val="7B9A55AB"/>
    <w:rsid w:val="7BEF4606"/>
    <w:rsid w:val="7C7E6484"/>
    <w:rsid w:val="7CB6EE42"/>
    <w:rsid w:val="7DDE65E0"/>
    <w:rsid w:val="7EBFADA0"/>
    <w:rsid w:val="7EFE846A"/>
    <w:rsid w:val="7FBFAB39"/>
    <w:rsid w:val="7FF31E23"/>
    <w:rsid w:val="82FE72D7"/>
    <w:rsid w:val="AB7FE252"/>
    <w:rsid w:val="ADFE5107"/>
    <w:rsid w:val="BD3C171D"/>
    <w:rsid w:val="CF7326EA"/>
    <w:rsid w:val="CFFF0064"/>
    <w:rsid w:val="D4FFB501"/>
    <w:rsid w:val="D7FF58D0"/>
    <w:rsid w:val="DDF9BFCA"/>
    <w:rsid w:val="DEBED7D3"/>
    <w:rsid w:val="DF0B2BB1"/>
    <w:rsid w:val="E7DE2289"/>
    <w:rsid w:val="EE650315"/>
    <w:rsid w:val="EFBEA857"/>
    <w:rsid w:val="EFBF1B13"/>
    <w:rsid w:val="EFD9B88F"/>
    <w:rsid w:val="EFDA37DA"/>
    <w:rsid w:val="EFFB7DFE"/>
    <w:rsid w:val="F17E038E"/>
    <w:rsid w:val="F3571A74"/>
    <w:rsid w:val="F36FEEBC"/>
    <w:rsid w:val="F63E14C1"/>
    <w:rsid w:val="F7F7A787"/>
    <w:rsid w:val="FBDBEB87"/>
    <w:rsid w:val="FD3F2903"/>
    <w:rsid w:val="FDE7F8E2"/>
    <w:rsid w:val="FEB5E23F"/>
    <w:rsid w:val="FF7B8301"/>
    <w:rsid w:val="FFEAF1B9"/>
    <w:rsid w:val="FFEF9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240" w:lineRule="auto"/>
      <w:jc w:val="center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2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rFonts w:asciiTheme="minorAscii" w:hAnsiTheme="minorAscii"/>
      <w:sz w:val="24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Char"/>
    <w:basedOn w:val="11"/>
    <w:link w:val="6"/>
    <w:semiHidden/>
    <w:qFormat/>
    <w:uiPriority w:val="99"/>
  </w:style>
  <w:style w:type="character" w:customStyle="1" w:styleId="16">
    <w:name w:val="页眉 Char"/>
    <w:basedOn w:val="11"/>
    <w:link w:val="9"/>
    <w:semiHidden/>
    <w:qFormat/>
    <w:uiPriority w:val="99"/>
    <w:rPr>
      <w:sz w:val="18"/>
      <w:szCs w:val="18"/>
    </w:rPr>
  </w:style>
  <w:style w:type="character" w:customStyle="1" w:styleId="17">
    <w:name w:val="页脚 Char"/>
    <w:link w:val="8"/>
    <w:qFormat/>
    <w:uiPriority w:val="99"/>
    <w:rPr>
      <w:sz w:val="18"/>
      <w:szCs w:val="18"/>
    </w:rPr>
  </w:style>
  <w:style w:type="character" w:customStyle="1" w:styleId="18">
    <w:name w:val="页脚 Char1"/>
    <w:basedOn w:val="11"/>
    <w:semiHidden/>
    <w:qFormat/>
    <w:uiPriority w:val="99"/>
    <w:rPr>
      <w:sz w:val="18"/>
      <w:szCs w:val="18"/>
    </w:r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2852</Words>
  <Characters>2956</Characters>
  <Lines>11</Lines>
  <Paragraphs>3</Paragraphs>
  <TotalTime>0</TotalTime>
  <ScaleCrop>false</ScaleCrop>
  <LinksUpToDate>false</LinksUpToDate>
  <CharactersWithSpaces>3110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2014-12-22T17:54:00Z</dcterms:created>
  <dc:creator>Administrator</dc:creator>
  <cp:lastModifiedBy>    </cp:lastModifiedBy>
  <dcterms:modified xsi:type="dcterms:W3CDTF">2024-08-02T11:34:53Z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33590A3EDAA7072720831164FB08191D</vt:lpwstr>
  </property>
</Properties>
</file>